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C16C99" w:rsidRPr="00817A34" w14:paraId="2776E949" w14:textId="77777777">
        <w:trPr>
          <w:cantSplit/>
          <w:trHeight w:hRule="exact" w:val="851"/>
        </w:trPr>
        <w:tc>
          <w:tcPr>
            <w:tcW w:w="1276" w:type="dxa"/>
            <w:tcBorders>
              <w:bottom w:val="single" w:sz="4" w:space="0" w:color="auto"/>
            </w:tcBorders>
            <w:vAlign w:val="bottom"/>
          </w:tcPr>
          <w:p w14:paraId="3A0502AB" w14:textId="77777777" w:rsidR="005043D0" w:rsidRPr="00C50B59" w:rsidRDefault="005043D0">
            <w:pPr>
              <w:spacing w:after="80"/>
            </w:pPr>
          </w:p>
        </w:tc>
        <w:tc>
          <w:tcPr>
            <w:tcW w:w="2268" w:type="dxa"/>
            <w:tcBorders>
              <w:bottom w:val="single" w:sz="4" w:space="0" w:color="auto"/>
            </w:tcBorders>
            <w:vAlign w:val="bottom"/>
          </w:tcPr>
          <w:p w14:paraId="6D441C94" w14:textId="615C3CF8" w:rsidR="005043D0" w:rsidRPr="00817A34" w:rsidRDefault="005043D0">
            <w:pPr>
              <w:spacing w:after="80" w:line="300" w:lineRule="exact"/>
              <w:rPr>
                <w:b/>
                <w:sz w:val="24"/>
                <w:szCs w:val="24"/>
              </w:rPr>
            </w:pPr>
          </w:p>
        </w:tc>
        <w:tc>
          <w:tcPr>
            <w:tcW w:w="6095" w:type="dxa"/>
            <w:gridSpan w:val="2"/>
            <w:tcBorders>
              <w:bottom w:val="single" w:sz="4" w:space="0" w:color="auto"/>
            </w:tcBorders>
            <w:vAlign w:val="bottom"/>
          </w:tcPr>
          <w:p w14:paraId="69095E63" w14:textId="5A288549" w:rsidR="005043D0" w:rsidRPr="00817A34" w:rsidRDefault="00B439AE">
            <w:pPr>
              <w:suppressAutoHyphens w:val="0"/>
              <w:spacing w:after="20"/>
              <w:jc w:val="right"/>
            </w:pPr>
            <w:r w:rsidRPr="00817A34">
              <w:rPr>
                <w:sz w:val="40"/>
              </w:rPr>
              <w:t>E</w:t>
            </w:r>
            <w:r w:rsidRPr="00817A34">
              <w:t>/C.12/FRA/CO/</w:t>
            </w:r>
            <w:r w:rsidR="0001308B" w:rsidRPr="00817A34" w:rsidDel="0001308B">
              <w:t xml:space="preserve"> </w:t>
            </w:r>
            <w:r w:rsidRPr="00817A34">
              <w:t>5</w:t>
            </w:r>
          </w:p>
        </w:tc>
      </w:tr>
      <w:tr w:rsidR="00C16C99" w:rsidRPr="00817A34" w14:paraId="09246E6B" w14:textId="77777777">
        <w:trPr>
          <w:cantSplit/>
          <w:trHeight w:hRule="exact" w:val="2835"/>
        </w:trPr>
        <w:tc>
          <w:tcPr>
            <w:tcW w:w="1276" w:type="dxa"/>
            <w:tcBorders>
              <w:top w:val="single" w:sz="4" w:space="0" w:color="auto"/>
              <w:bottom w:val="single" w:sz="12" w:space="0" w:color="auto"/>
            </w:tcBorders>
          </w:tcPr>
          <w:p w14:paraId="17E06FE3" w14:textId="32DF54C0" w:rsidR="005043D0" w:rsidRPr="00817A34" w:rsidRDefault="005043D0">
            <w:pPr>
              <w:spacing w:before="120"/>
              <w:jc w:val="center"/>
            </w:pPr>
          </w:p>
        </w:tc>
        <w:tc>
          <w:tcPr>
            <w:tcW w:w="5528" w:type="dxa"/>
            <w:gridSpan w:val="2"/>
            <w:tcBorders>
              <w:top w:val="single" w:sz="4" w:space="0" w:color="auto"/>
              <w:bottom w:val="single" w:sz="12" w:space="0" w:color="auto"/>
            </w:tcBorders>
          </w:tcPr>
          <w:p w14:paraId="18310D31" w14:textId="0733A0AC" w:rsidR="005043D0" w:rsidRPr="006C3721" w:rsidRDefault="00484EB7" w:rsidP="004E1019">
            <w:pPr>
              <w:spacing w:before="120" w:line="420" w:lineRule="exact"/>
              <w:rPr>
                <w:lang w:val="en-GB"/>
              </w:rPr>
            </w:pPr>
            <w:r>
              <w:t>Version préliminaire non éditée</w:t>
            </w:r>
          </w:p>
        </w:tc>
        <w:tc>
          <w:tcPr>
            <w:tcW w:w="2835" w:type="dxa"/>
            <w:tcBorders>
              <w:top w:val="single" w:sz="4" w:space="0" w:color="auto"/>
              <w:bottom w:val="single" w:sz="12" w:space="0" w:color="auto"/>
            </w:tcBorders>
          </w:tcPr>
          <w:p w14:paraId="2CD3CD58" w14:textId="5F8E2985" w:rsidR="005043D0" w:rsidRPr="00817A34" w:rsidRDefault="00B439AE">
            <w:pPr>
              <w:suppressAutoHyphens w:val="0"/>
              <w:spacing w:before="240" w:line="240" w:lineRule="exact"/>
            </w:pPr>
            <w:proofErr w:type="spellStart"/>
            <w:r w:rsidRPr="00817A34">
              <w:t>Distr</w:t>
            </w:r>
            <w:proofErr w:type="spellEnd"/>
            <w:r w:rsidRPr="00817A34">
              <w:t xml:space="preserve">. </w:t>
            </w:r>
            <w:r w:rsidR="0001308B">
              <w:t>General</w:t>
            </w:r>
          </w:p>
          <w:p w14:paraId="547979D1" w14:textId="5B30DA51" w:rsidR="005043D0" w:rsidRPr="00817A34" w:rsidRDefault="0001308B">
            <w:pPr>
              <w:suppressAutoHyphens w:val="0"/>
            </w:pPr>
            <w:r>
              <w:t>1</w:t>
            </w:r>
            <w:r w:rsidR="00085EB7">
              <w:t>6</w:t>
            </w:r>
            <w:r w:rsidRPr="00817A34">
              <w:t xml:space="preserve"> </w:t>
            </w:r>
            <w:r w:rsidR="00961CBF" w:rsidRPr="00817A34">
              <w:t xml:space="preserve">octobre </w:t>
            </w:r>
            <w:r w:rsidR="00553C2F" w:rsidRPr="00817A34">
              <w:t>2023</w:t>
            </w:r>
          </w:p>
          <w:p w14:paraId="53432064" w14:textId="77777777" w:rsidR="005043D0" w:rsidRPr="00817A34" w:rsidRDefault="005043D0">
            <w:pPr>
              <w:suppressAutoHyphens w:val="0"/>
            </w:pPr>
          </w:p>
          <w:p w14:paraId="513E7185" w14:textId="77777777" w:rsidR="005043D0" w:rsidRPr="00817A34" w:rsidRDefault="00B439AE">
            <w:pPr>
              <w:suppressAutoHyphens w:val="0"/>
            </w:pPr>
            <w:r w:rsidRPr="00817A34">
              <w:t>Original </w:t>
            </w:r>
            <w:r w:rsidR="008216D2" w:rsidRPr="00817A34">
              <w:t>:</w:t>
            </w:r>
            <w:r w:rsidR="00553C2F" w:rsidRPr="00817A34">
              <w:t xml:space="preserve"> français</w:t>
            </w:r>
          </w:p>
          <w:p w14:paraId="6395E94F" w14:textId="77777777" w:rsidR="005043D0" w:rsidRPr="00817A34" w:rsidRDefault="00553C2F">
            <w:pPr>
              <w:suppressAutoHyphens w:val="0"/>
            </w:pPr>
            <w:r w:rsidRPr="00817A34">
              <w:t>Anglais, espagnol et français seulement</w:t>
            </w:r>
          </w:p>
        </w:tc>
      </w:tr>
    </w:tbl>
    <w:p w14:paraId="55ACB5DE" w14:textId="77777777" w:rsidR="005043D0" w:rsidRPr="00817A34" w:rsidRDefault="00B439AE">
      <w:pPr>
        <w:spacing w:before="120"/>
        <w:rPr>
          <w:b/>
          <w:sz w:val="24"/>
          <w:szCs w:val="24"/>
        </w:rPr>
      </w:pPr>
      <w:r w:rsidRPr="00817A34">
        <w:rPr>
          <w:b/>
          <w:sz w:val="24"/>
          <w:szCs w:val="24"/>
        </w:rPr>
        <w:t>Comité des droits économiques, sociaux et culturels</w:t>
      </w:r>
    </w:p>
    <w:p w14:paraId="1D7AB601" w14:textId="14CA9DAF" w:rsidR="005043D0" w:rsidRPr="00817A34" w:rsidRDefault="00B439AE">
      <w:pPr>
        <w:pStyle w:val="HChG"/>
      </w:pPr>
      <w:r w:rsidRPr="00817A34">
        <w:tab/>
      </w:r>
      <w:r w:rsidRPr="00817A34">
        <w:tab/>
        <w:t>Observations finales concernant le cinquième rapport périodique de la France</w:t>
      </w:r>
      <w:r w:rsidR="003623C2" w:rsidRPr="006B258D">
        <w:rPr>
          <w:b w:val="0"/>
          <w:bCs/>
          <w:sz w:val="20"/>
          <w:lang w:val="fr-FR"/>
        </w:rPr>
        <w:footnoteReference w:customMarkFollows="1" w:id="2"/>
        <w:t>*</w:t>
      </w:r>
    </w:p>
    <w:p w14:paraId="0222C6BC" w14:textId="129D448B" w:rsidR="00EC47B1" w:rsidRPr="00817A34" w:rsidRDefault="00EC47B1" w:rsidP="00EC47B1">
      <w:pPr>
        <w:pStyle w:val="SingleTxtG"/>
        <w:rPr>
          <w:rFonts w:eastAsia="Times New Roman"/>
          <w:b/>
          <w:bCs/>
          <w:lang w:val="fr-FR"/>
        </w:rPr>
      </w:pPr>
      <w:r w:rsidRPr="00817A34">
        <w:rPr>
          <w:lang w:val="fr-FR"/>
        </w:rPr>
        <w:t>1.</w:t>
      </w:r>
      <w:r w:rsidRPr="00817A34">
        <w:rPr>
          <w:lang w:val="fr-FR"/>
        </w:rPr>
        <w:tab/>
        <w:t xml:space="preserve">Le Comité a examiné le </w:t>
      </w:r>
      <w:r w:rsidR="003B76CD" w:rsidRPr="00817A34">
        <w:rPr>
          <w:lang w:val="fr-FR"/>
        </w:rPr>
        <w:t>cinquième</w:t>
      </w:r>
      <w:r w:rsidR="006352A3" w:rsidRPr="00817A34">
        <w:rPr>
          <w:lang w:val="fr-FR"/>
        </w:rPr>
        <w:t xml:space="preserve"> </w:t>
      </w:r>
      <w:r w:rsidRPr="00817A34">
        <w:rPr>
          <w:lang w:val="fr-FR"/>
        </w:rPr>
        <w:t xml:space="preserve">rapport périodique de </w:t>
      </w:r>
      <w:r w:rsidR="006352A3" w:rsidRPr="00817A34">
        <w:rPr>
          <w:lang w:val="fr-FR"/>
        </w:rPr>
        <w:t>la France</w:t>
      </w:r>
      <w:r w:rsidRPr="00817A34">
        <w:rPr>
          <w:rStyle w:val="Appelnotedebasdep"/>
        </w:rPr>
        <w:footnoteReference w:id="3"/>
      </w:r>
      <w:r w:rsidRPr="00817A34">
        <w:rPr>
          <w:lang w:val="fr-FR"/>
        </w:rPr>
        <w:t xml:space="preserve"> à ses </w:t>
      </w:r>
      <w:r w:rsidR="006352A3" w:rsidRPr="00817A34">
        <w:rPr>
          <w:bCs/>
          <w:lang w:val="fr-FR"/>
        </w:rPr>
        <w:t>41</w:t>
      </w:r>
      <w:r w:rsidR="006352A3" w:rsidRPr="00817A34">
        <w:rPr>
          <w:bCs/>
          <w:vertAlign w:val="superscript"/>
          <w:lang w:val="fr-FR"/>
        </w:rPr>
        <w:t>ème</w:t>
      </w:r>
      <w:r w:rsidR="006352A3" w:rsidRPr="00817A34">
        <w:rPr>
          <w:bCs/>
          <w:lang w:val="fr-FR"/>
        </w:rPr>
        <w:t xml:space="preserve"> </w:t>
      </w:r>
      <w:r w:rsidRPr="00817A34">
        <w:rPr>
          <w:lang w:val="fr-FR"/>
        </w:rPr>
        <w:t xml:space="preserve">et </w:t>
      </w:r>
      <w:r w:rsidR="006352A3" w:rsidRPr="00817A34">
        <w:rPr>
          <w:bCs/>
          <w:lang w:val="fr-FR"/>
        </w:rPr>
        <w:t>4</w:t>
      </w:r>
      <w:r w:rsidR="003D2917" w:rsidRPr="00817A34">
        <w:rPr>
          <w:bCs/>
          <w:lang w:val="fr-FR"/>
        </w:rPr>
        <w:t>3</w:t>
      </w:r>
      <w:r w:rsidR="006352A3" w:rsidRPr="00817A34">
        <w:rPr>
          <w:bCs/>
          <w:vertAlign w:val="superscript"/>
          <w:lang w:val="fr-FR"/>
        </w:rPr>
        <w:t>ème</w:t>
      </w:r>
      <w:r w:rsidR="006352A3" w:rsidRPr="00817A34">
        <w:rPr>
          <w:bCs/>
          <w:lang w:val="fr-FR"/>
        </w:rPr>
        <w:t xml:space="preserve"> </w:t>
      </w:r>
      <w:r w:rsidRPr="00817A34">
        <w:rPr>
          <w:lang w:val="fr-FR"/>
        </w:rPr>
        <w:t>séances</w:t>
      </w:r>
      <w:r w:rsidRPr="00817A34">
        <w:rPr>
          <w:rStyle w:val="Appelnotedebasdep"/>
        </w:rPr>
        <w:footnoteReference w:id="4"/>
      </w:r>
      <w:r w:rsidRPr="00817A34">
        <w:rPr>
          <w:lang w:val="fr-FR"/>
        </w:rPr>
        <w:t xml:space="preserve">, les </w:t>
      </w:r>
      <w:r w:rsidR="004A68B0" w:rsidRPr="00817A34">
        <w:rPr>
          <w:lang w:val="fr-FR"/>
        </w:rPr>
        <w:t>2 et 3 octobre 2023</w:t>
      </w:r>
      <w:r w:rsidR="003E51AD" w:rsidRPr="00817A34">
        <w:rPr>
          <w:lang w:val="fr-FR"/>
        </w:rPr>
        <w:t>,</w:t>
      </w:r>
      <w:r w:rsidRPr="00817A34">
        <w:rPr>
          <w:lang w:val="fr-FR"/>
        </w:rPr>
        <w:t xml:space="preserve"> et a adopté les présentes observations finales à sa </w:t>
      </w:r>
      <w:r w:rsidR="004A68B0" w:rsidRPr="00817A34">
        <w:rPr>
          <w:bCs/>
          <w:lang w:val="fr-FR"/>
        </w:rPr>
        <w:t>60</w:t>
      </w:r>
      <w:r w:rsidR="004A68B0" w:rsidRPr="00817A34">
        <w:rPr>
          <w:bCs/>
          <w:vertAlign w:val="superscript"/>
          <w:lang w:val="fr-FR"/>
        </w:rPr>
        <w:t>ème</w:t>
      </w:r>
      <w:r w:rsidR="004A68B0" w:rsidRPr="00817A34">
        <w:rPr>
          <w:bCs/>
          <w:lang w:val="fr-FR"/>
        </w:rPr>
        <w:t xml:space="preserve"> </w:t>
      </w:r>
      <w:r w:rsidRPr="00817A34">
        <w:rPr>
          <w:lang w:val="fr-FR"/>
        </w:rPr>
        <w:t xml:space="preserve">séance, le </w:t>
      </w:r>
      <w:r w:rsidR="004A68B0" w:rsidRPr="00817A34">
        <w:rPr>
          <w:lang w:val="fr-FR"/>
        </w:rPr>
        <w:t>13 octobre 2023</w:t>
      </w:r>
      <w:r w:rsidRPr="00817A34">
        <w:rPr>
          <w:lang w:val="fr-FR"/>
        </w:rPr>
        <w:t>.</w:t>
      </w:r>
    </w:p>
    <w:p w14:paraId="0B2EC289" w14:textId="77777777" w:rsidR="00EC47B1" w:rsidRPr="00817A34" w:rsidRDefault="00EC47B1" w:rsidP="00EC47B1">
      <w:pPr>
        <w:pStyle w:val="H1G"/>
      </w:pPr>
      <w:r w:rsidRPr="00817A34">
        <w:rPr>
          <w:lang w:val="fr-FR"/>
        </w:rPr>
        <w:tab/>
        <w:t>A.</w:t>
      </w:r>
      <w:r w:rsidRPr="00817A34">
        <w:rPr>
          <w:lang w:val="fr-FR"/>
        </w:rPr>
        <w:tab/>
        <w:t>Introduction</w:t>
      </w:r>
    </w:p>
    <w:p w14:paraId="1BE9CA01" w14:textId="24A795F7" w:rsidR="00EC47B1" w:rsidRPr="00817A34" w:rsidRDefault="00EC47B1" w:rsidP="00EC47B1">
      <w:pPr>
        <w:pStyle w:val="SingleTxtG"/>
        <w:rPr>
          <w:lang w:val="fr-FR"/>
        </w:rPr>
      </w:pPr>
      <w:r w:rsidRPr="00817A34">
        <w:rPr>
          <w:lang w:val="fr-FR"/>
        </w:rPr>
        <w:t>2.</w:t>
      </w:r>
      <w:r w:rsidRPr="00817A34">
        <w:rPr>
          <w:lang w:val="fr-FR"/>
        </w:rPr>
        <w:tab/>
        <w:t xml:space="preserve">Le Comité accueille avec satisfaction le </w:t>
      </w:r>
      <w:r w:rsidR="003E51AD" w:rsidRPr="00817A34">
        <w:rPr>
          <w:bCs/>
          <w:lang w:val="fr-FR"/>
        </w:rPr>
        <w:t>cinquième</w:t>
      </w:r>
      <w:r w:rsidR="004A68B0" w:rsidRPr="00817A34">
        <w:rPr>
          <w:bCs/>
          <w:lang w:val="fr-FR"/>
        </w:rPr>
        <w:t xml:space="preserve"> </w:t>
      </w:r>
      <w:r w:rsidRPr="00817A34">
        <w:rPr>
          <w:rStyle w:val="Appelnotedebasdep"/>
        </w:rPr>
        <w:t xml:space="preserve"> </w:t>
      </w:r>
      <w:r w:rsidRPr="00817A34">
        <w:rPr>
          <w:lang w:val="fr-FR"/>
        </w:rPr>
        <w:t>rapport périodique de l’État partie</w:t>
      </w:r>
      <w:r w:rsidR="003E51AD" w:rsidRPr="00817A34">
        <w:rPr>
          <w:lang w:val="fr-FR"/>
        </w:rPr>
        <w:t xml:space="preserve"> soumis en réponse à la liste de points établie avant la soumission </w:t>
      </w:r>
      <w:r w:rsidR="00FE6E6D" w:rsidRPr="00817A34">
        <w:rPr>
          <w:lang w:val="fr-FR"/>
        </w:rPr>
        <w:t xml:space="preserve">du rapport conformément à </w:t>
      </w:r>
      <w:r w:rsidR="00227A35" w:rsidRPr="00817A34">
        <w:rPr>
          <w:lang w:val="fr-FR"/>
        </w:rPr>
        <w:t>la procédure simplifiée de présentation de</w:t>
      </w:r>
      <w:r w:rsidR="00F96814">
        <w:rPr>
          <w:lang w:val="fr-FR"/>
        </w:rPr>
        <w:t>s</w:t>
      </w:r>
      <w:r w:rsidR="00227A35" w:rsidRPr="00817A34">
        <w:rPr>
          <w:lang w:val="fr-FR"/>
        </w:rPr>
        <w:t xml:space="preserve"> rapports</w:t>
      </w:r>
      <w:r w:rsidR="00FE6E6D" w:rsidRPr="00817A34">
        <w:rPr>
          <w:rStyle w:val="Appelnotedebasdep"/>
        </w:rPr>
        <w:footnoteReference w:id="5"/>
      </w:r>
      <w:r w:rsidR="00FE6E6D" w:rsidRPr="00817A34">
        <w:rPr>
          <w:lang w:val="fr-FR"/>
        </w:rPr>
        <w:t>.</w:t>
      </w:r>
      <w:r w:rsidRPr="00817A34">
        <w:rPr>
          <w:lang w:val="fr-FR"/>
        </w:rPr>
        <w:t xml:space="preserve"> Il se félicite du dialogue constructif qu’il a eu avec la délégation </w:t>
      </w:r>
      <w:r w:rsidR="00FE6E6D" w:rsidRPr="00817A34">
        <w:rPr>
          <w:lang w:val="fr-FR"/>
        </w:rPr>
        <w:t xml:space="preserve">multisectorielle </w:t>
      </w:r>
      <w:r w:rsidRPr="00817A34">
        <w:rPr>
          <w:lang w:val="fr-FR"/>
        </w:rPr>
        <w:t>de l’État partie</w:t>
      </w:r>
      <w:r w:rsidR="00FE6E6D" w:rsidRPr="00817A34">
        <w:rPr>
          <w:lang w:val="fr-FR"/>
        </w:rPr>
        <w:t>, des réponses apportées par la délégation</w:t>
      </w:r>
      <w:r w:rsidRPr="00817A34">
        <w:rPr>
          <w:lang w:val="fr-FR"/>
        </w:rPr>
        <w:t>.</w:t>
      </w:r>
    </w:p>
    <w:p w14:paraId="72F756BA" w14:textId="77777777" w:rsidR="00EC47B1" w:rsidRPr="00817A34" w:rsidRDefault="00EC47B1" w:rsidP="00EC47B1">
      <w:pPr>
        <w:pStyle w:val="H1G"/>
      </w:pPr>
      <w:r w:rsidRPr="00817A34">
        <w:rPr>
          <w:lang w:val="fr-FR"/>
        </w:rPr>
        <w:tab/>
        <w:t>B.</w:t>
      </w:r>
      <w:r w:rsidRPr="00817A34">
        <w:rPr>
          <w:lang w:val="fr-FR"/>
        </w:rPr>
        <w:tab/>
        <w:t>Aspects positifs</w:t>
      </w:r>
    </w:p>
    <w:p w14:paraId="15C70E61" w14:textId="0146A80F" w:rsidR="00EC47B1" w:rsidRPr="00817A34" w:rsidRDefault="00EC47B1" w:rsidP="008B2E7D">
      <w:pPr>
        <w:pStyle w:val="SingleTxtG"/>
        <w:rPr>
          <w:lang w:val="fr-FR"/>
        </w:rPr>
      </w:pPr>
      <w:r w:rsidRPr="00817A34">
        <w:rPr>
          <w:lang w:val="fr-FR"/>
        </w:rPr>
        <w:t>3.</w:t>
      </w:r>
      <w:r w:rsidRPr="00817A34">
        <w:rPr>
          <w:lang w:val="fr-FR"/>
        </w:rPr>
        <w:tab/>
        <w:t xml:space="preserve">Le Comité se félicite des mesures législatives, institutionnelles et stratégiques que l’État partie a prises pour renforcer la protection des droits économiques, sociaux et culturels sur son territoire, notamment </w:t>
      </w:r>
      <w:r w:rsidR="008B2E7D" w:rsidRPr="00817A34">
        <w:rPr>
          <w:lang w:val="fr-FR"/>
        </w:rPr>
        <w:t xml:space="preserve">le grand plan interministériel 2023-2027 « Toutes et tous égaux » ; le Plan national de lutte contre le racisme, l’antisémitisme et les discriminations liées à l’origine 2023-2026 ; </w:t>
      </w:r>
      <w:r w:rsidR="00B213CE" w:rsidRPr="00817A34">
        <w:rPr>
          <w:lang w:val="fr-FR"/>
        </w:rPr>
        <w:t>la Stratégie Nationale de Santé 2018-2022</w:t>
      </w:r>
      <w:r w:rsidR="008B2E7D" w:rsidRPr="00817A34">
        <w:rPr>
          <w:lang w:val="fr-FR"/>
        </w:rPr>
        <w:t xml:space="preserve">, </w:t>
      </w:r>
      <w:r w:rsidRPr="00817A34">
        <w:rPr>
          <w:lang w:val="fr-FR"/>
        </w:rPr>
        <w:t>ainsi que des autres mesures mentionnées dans les présentes observations finales.</w:t>
      </w:r>
    </w:p>
    <w:p w14:paraId="107F5138" w14:textId="2C1184C1" w:rsidR="00EC47B1" w:rsidRPr="00817A34" w:rsidRDefault="00EC47B1" w:rsidP="00EC47B1">
      <w:pPr>
        <w:pStyle w:val="H1G"/>
        <w:rPr>
          <w:b w:val="0"/>
          <w:lang w:val="fr-FR"/>
        </w:rPr>
      </w:pPr>
      <w:r w:rsidRPr="00817A34">
        <w:rPr>
          <w:lang w:val="fr-FR"/>
        </w:rPr>
        <w:tab/>
        <w:t>C.</w:t>
      </w:r>
      <w:r w:rsidRPr="00817A34">
        <w:rPr>
          <w:lang w:val="fr-FR"/>
        </w:rPr>
        <w:tab/>
        <w:t xml:space="preserve">Principaux sujets de préoccupation et recommandations </w:t>
      </w:r>
      <w:r w:rsidR="00B90376" w:rsidRPr="00817A34">
        <w:rPr>
          <w:lang w:val="fr-FR"/>
        </w:rPr>
        <w:t xml:space="preserve"> </w:t>
      </w:r>
    </w:p>
    <w:p w14:paraId="57576E03" w14:textId="0B05A275" w:rsidR="00AB645A" w:rsidRPr="00817A34" w:rsidRDefault="00EC47B1" w:rsidP="00AB261D">
      <w:pPr>
        <w:pStyle w:val="H23G"/>
        <w:tabs>
          <w:tab w:val="clear" w:pos="720"/>
          <w:tab w:val="clear" w:pos="851"/>
        </w:tabs>
        <w:ind w:left="1134"/>
      </w:pPr>
      <w:r w:rsidRPr="00817A34">
        <w:tab/>
        <w:t xml:space="preserve">Application du Pacte au niveau national </w:t>
      </w:r>
    </w:p>
    <w:p w14:paraId="7F5B8ABC" w14:textId="03CB4C49" w:rsidR="00EC47B1" w:rsidRPr="00817A34" w:rsidRDefault="00AB645A" w:rsidP="00AB261D">
      <w:pPr>
        <w:pStyle w:val="SingleTxtG"/>
        <w:rPr>
          <w:b/>
        </w:rPr>
      </w:pPr>
      <w:r w:rsidRPr="00817A34">
        <w:tab/>
      </w:r>
      <w:r w:rsidR="0012478E" w:rsidRPr="00817A34">
        <w:t>4</w:t>
      </w:r>
      <w:r w:rsidR="00EC47B1" w:rsidRPr="00817A34">
        <w:t xml:space="preserve">. </w:t>
      </w:r>
      <w:r w:rsidR="00EC47B1" w:rsidRPr="00817A34">
        <w:tab/>
      </w:r>
      <w:r w:rsidR="00AA057B" w:rsidRPr="00817A34">
        <w:t>L</w:t>
      </w:r>
      <w:r w:rsidR="005D2E96" w:rsidRPr="00817A34">
        <w:t>e Comité prend note des renseignements fournis par l’</w:t>
      </w:r>
      <w:r w:rsidR="00716DF9">
        <w:t>É</w:t>
      </w:r>
      <w:r w:rsidR="005D2E96" w:rsidRPr="00817A34">
        <w:t>tat partie sur les formations auprès des magistrats et des avocats pour faire connaître les dispositions du Pacte</w:t>
      </w:r>
      <w:r w:rsidR="00AA057B" w:rsidRPr="00817A34">
        <w:t>. Il est, néanmoins,</w:t>
      </w:r>
      <w:r w:rsidR="005D2E96" w:rsidRPr="00817A34">
        <w:t xml:space="preserve"> préoccupé par l’absence </w:t>
      </w:r>
      <w:r w:rsidR="00AA057B" w:rsidRPr="00817A34">
        <w:t>de cas où les dispositions du Pacte aient été invoquées auprès de</w:t>
      </w:r>
      <w:r w:rsidR="00F96814">
        <w:t>s</w:t>
      </w:r>
      <w:r w:rsidR="00AA057B" w:rsidRPr="00817A34">
        <w:t xml:space="preserve"> cours et tribunaux de l’</w:t>
      </w:r>
      <w:r w:rsidR="00716DF9">
        <w:t>É</w:t>
      </w:r>
      <w:r w:rsidR="00716DF9" w:rsidRPr="00817A34">
        <w:t>tat</w:t>
      </w:r>
      <w:r w:rsidR="00AA057B" w:rsidRPr="00817A34">
        <w:t xml:space="preserve"> partie ou appliquées par ceux-ci, ce qui limite</w:t>
      </w:r>
      <w:r w:rsidR="0068410B" w:rsidRPr="00817A34">
        <w:t xml:space="preserve"> le développement de la jurisprudence nationale relative aux droits contenus dans le Pacte</w:t>
      </w:r>
      <w:r w:rsidRPr="00817A34">
        <w:t xml:space="preserve">. </w:t>
      </w:r>
    </w:p>
    <w:p w14:paraId="1FE0B6C9" w14:textId="6F329AE6" w:rsidR="00FF0DE3" w:rsidRPr="00817A34" w:rsidRDefault="0012478E" w:rsidP="00AA057B">
      <w:pPr>
        <w:pStyle w:val="SingleTxtG"/>
      </w:pPr>
      <w:r w:rsidRPr="00817A34">
        <w:rPr>
          <w:lang w:val="fr-FR"/>
        </w:rPr>
        <w:t>5</w:t>
      </w:r>
      <w:r w:rsidR="00EC47B1" w:rsidRPr="00817A34">
        <w:rPr>
          <w:lang w:val="fr-FR"/>
        </w:rPr>
        <w:t xml:space="preserve">. </w:t>
      </w:r>
      <w:r w:rsidR="00EC47B1" w:rsidRPr="00817A34">
        <w:rPr>
          <w:lang w:val="fr-FR"/>
        </w:rPr>
        <w:tab/>
      </w:r>
      <w:r w:rsidR="00FF0DE3" w:rsidRPr="00817A34">
        <w:rPr>
          <w:b/>
          <w:bCs/>
          <w:lang w:val="fr-FR"/>
        </w:rPr>
        <w:t>Le Comité réitère sa recommandation antérieure</w:t>
      </w:r>
      <w:r w:rsidR="009A7140" w:rsidRPr="00817A34">
        <w:rPr>
          <w:rStyle w:val="Appelnotedebasdep"/>
          <w:b/>
          <w:bCs/>
        </w:rPr>
        <w:footnoteReference w:id="6"/>
      </w:r>
      <w:r w:rsidR="00FF0DE3" w:rsidRPr="00817A34">
        <w:rPr>
          <w:b/>
          <w:bCs/>
          <w:lang w:val="fr-FR"/>
        </w:rPr>
        <w:t xml:space="preserve"> et engage l’</w:t>
      </w:r>
      <w:r w:rsidR="00716DF9">
        <w:rPr>
          <w:b/>
          <w:bCs/>
          <w:lang w:val="fr-FR"/>
        </w:rPr>
        <w:t>É</w:t>
      </w:r>
      <w:r w:rsidR="00FF0DE3" w:rsidRPr="00817A34">
        <w:rPr>
          <w:b/>
          <w:bCs/>
          <w:lang w:val="fr-FR"/>
        </w:rPr>
        <w:t xml:space="preserve">tat partie </w:t>
      </w:r>
      <w:r w:rsidR="00AA057B" w:rsidRPr="00817A34">
        <w:rPr>
          <w:b/>
          <w:bCs/>
          <w:lang w:val="fr-FR"/>
        </w:rPr>
        <w:t xml:space="preserve">à </w:t>
      </w:r>
      <w:r w:rsidR="00AA057B" w:rsidRPr="00817A34">
        <w:rPr>
          <w:b/>
        </w:rPr>
        <w:t>prendre des mesures visant à uniformiser la pratique quant à l’applicabilité d</w:t>
      </w:r>
      <w:r w:rsidR="0041331B" w:rsidRPr="00A331F6">
        <w:rPr>
          <w:b/>
        </w:rPr>
        <w:t xml:space="preserve">es droits </w:t>
      </w:r>
      <w:r w:rsidR="00F93ADD" w:rsidRPr="00A331F6">
        <w:rPr>
          <w:b/>
        </w:rPr>
        <w:t>prévus</w:t>
      </w:r>
      <w:r w:rsidR="0041331B" w:rsidRPr="00A331F6">
        <w:rPr>
          <w:b/>
        </w:rPr>
        <w:t xml:space="preserve"> dans le Pacte</w:t>
      </w:r>
      <w:r w:rsidR="00AA057B" w:rsidRPr="00817A34">
        <w:rPr>
          <w:b/>
        </w:rPr>
        <w:t xml:space="preserve"> par ses juridictions nationales. Le Comité recommande </w:t>
      </w:r>
      <w:r w:rsidR="00FF0DE3" w:rsidRPr="00817A34">
        <w:rPr>
          <w:b/>
          <w:bCs/>
          <w:lang w:val="fr-FR"/>
        </w:rPr>
        <w:t xml:space="preserve">à l’État partie de </w:t>
      </w:r>
      <w:r w:rsidR="00FF0DE3" w:rsidRPr="00817A34">
        <w:rPr>
          <w:b/>
          <w:bCs/>
          <w:lang w:val="fr-FR"/>
        </w:rPr>
        <w:lastRenderedPageBreak/>
        <w:t>renforcer la formation des avocats, et des magistrats sur les dispositions du Pacte</w:t>
      </w:r>
      <w:r w:rsidR="00192C1A" w:rsidRPr="00817A34">
        <w:rPr>
          <w:b/>
          <w:bCs/>
          <w:lang w:val="fr-FR"/>
        </w:rPr>
        <w:t xml:space="preserve">, du Protocole facultatif </w:t>
      </w:r>
      <w:r w:rsidR="00FF0DE3" w:rsidRPr="00817A34">
        <w:rPr>
          <w:b/>
          <w:bCs/>
          <w:lang w:val="fr-FR"/>
        </w:rPr>
        <w:t>et sur</w:t>
      </w:r>
      <w:r w:rsidR="00192C1A" w:rsidRPr="00817A34">
        <w:rPr>
          <w:b/>
          <w:bCs/>
          <w:lang w:val="fr-FR"/>
        </w:rPr>
        <w:t xml:space="preserve"> la justiciabilité</w:t>
      </w:r>
      <w:r w:rsidR="00FF0DE3" w:rsidRPr="00817A34">
        <w:rPr>
          <w:b/>
          <w:bCs/>
          <w:lang w:val="fr-FR"/>
        </w:rPr>
        <w:t xml:space="preserve"> des droits économiques, sociaux et culturels</w:t>
      </w:r>
      <w:r w:rsidR="00192C1A" w:rsidRPr="00817A34">
        <w:rPr>
          <w:b/>
          <w:bCs/>
          <w:lang w:val="fr-FR"/>
        </w:rPr>
        <w:t xml:space="preserve">. </w:t>
      </w:r>
      <w:r w:rsidR="003D1AB4">
        <w:rPr>
          <w:b/>
          <w:bCs/>
          <w:lang w:val="fr-FR"/>
        </w:rPr>
        <w:t>L</w:t>
      </w:r>
      <w:r w:rsidR="003D1AB4" w:rsidRPr="00817A34">
        <w:rPr>
          <w:b/>
          <w:bCs/>
          <w:lang w:val="fr-FR"/>
        </w:rPr>
        <w:t xml:space="preserve">e </w:t>
      </w:r>
      <w:r w:rsidR="00192C1A" w:rsidRPr="00817A34">
        <w:rPr>
          <w:b/>
          <w:bCs/>
          <w:lang w:val="fr-FR"/>
        </w:rPr>
        <w:t xml:space="preserve">Comité recommande </w:t>
      </w:r>
      <w:r w:rsidR="003D1AB4">
        <w:rPr>
          <w:b/>
          <w:bCs/>
          <w:lang w:val="fr-FR"/>
        </w:rPr>
        <w:t>é</w:t>
      </w:r>
      <w:r w:rsidR="003D1AB4" w:rsidRPr="00817A34">
        <w:rPr>
          <w:b/>
          <w:bCs/>
          <w:lang w:val="fr-FR"/>
        </w:rPr>
        <w:t xml:space="preserve">galement </w:t>
      </w:r>
      <w:r w:rsidR="00192C1A" w:rsidRPr="00817A34">
        <w:rPr>
          <w:b/>
          <w:bCs/>
          <w:lang w:val="fr-FR"/>
        </w:rPr>
        <w:t>à l’État partie</w:t>
      </w:r>
      <w:r w:rsidR="00FF0DE3" w:rsidRPr="00817A34">
        <w:rPr>
          <w:b/>
          <w:bCs/>
          <w:lang w:val="fr-FR"/>
        </w:rPr>
        <w:t xml:space="preserve"> d’engager des campagnes d’information destinées aux titulaires de droits. </w:t>
      </w:r>
      <w:r w:rsidR="00AA057B" w:rsidRPr="00817A34">
        <w:rPr>
          <w:b/>
        </w:rPr>
        <w:t>Le Comité appelle l’attention de l’État partie sur l’observation générale n</w:t>
      </w:r>
      <w:r w:rsidR="00AA057B" w:rsidRPr="00817A34">
        <w:rPr>
          <w:b/>
          <w:vertAlign w:val="superscript"/>
        </w:rPr>
        <w:t>o</w:t>
      </w:r>
      <w:r w:rsidR="00AA057B" w:rsidRPr="00817A34">
        <w:rPr>
          <w:b/>
        </w:rPr>
        <w:t> 9 (1998) sur l’application du Pacte au niveau national.</w:t>
      </w:r>
    </w:p>
    <w:p w14:paraId="21D26996" w14:textId="77777777" w:rsidR="00EC47B1" w:rsidRPr="00817A34" w:rsidRDefault="00EC47B1" w:rsidP="00AB261D">
      <w:pPr>
        <w:pStyle w:val="H23G"/>
        <w:tabs>
          <w:tab w:val="clear" w:pos="720"/>
          <w:tab w:val="clear" w:pos="851"/>
        </w:tabs>
        <w:ind w:left="1134"/>
      </w:pPr>
      <w:r w:rsidRPr="00817A34">
        <w:t>Entreprises et droits économiques, sociaux et culturels</w:t>
      </w:r>
    </w:p>
    <w:p w14:paraId="202965DA" w14:textId="5D0F5B49" w:rsidR="00EC47B1" w:rsidRPr="00817A34" w:rsidRDefault="0012478E" w:rsidP="007C57E6">
      <w:pPr>
        <w:pStyle w:val="SingleTxtG"/>
        <w:tabs>
          <w:tab w:val="left" w:pos="720"/>
        </w:tabs>
        <w:rPr>
          <w:lang w:val="fr-FR"/>
        </w:rPr>
      </w:pPr>
      <w:r w:rsidRPr="00817A34">
        <w:rPr>
          <w:lang w:val="fr-FR"/>
        </w:rPr>
        <w:t>6</w:t>
      </w:r>
      <w:r w:rsidR="00EC47B1" w:rsidRPr="00817A34">
        <w:rPr>
          <w:lang w:val="fr-FR"/>
        </w:rPr>
        <w:t xml:space="preserve">. </w:t>
      </w:r>
      <w:r w:rsidR="00EC47B1" w:rsidRPr="00817A34">
        <w:rPr>
          <w:lang w:val="fr-FR"/>
        </w:rPr>
        <w:tab/>
        <w:t>Le Comité</w:t>
      </w:r>
      <w:r w:rsidR="00361451" w:rsidRPr="00817A34">
        <w:rPr>
          <w:lang w:val="fr-FR"/>
        </w:rPr>
        <w:t xml:space="preserve"> accueille avec satisfaction l’adoption de la loi n° 2017-399 du 27 mars 2017 relative au devoir de vigilance des sociétés mères et des entreprises donneuses d’ordre</w:t>
      </w:r>
      <w:r w:rsidR="00C8672E" w:rsidRPr="00817A34">
        <w:rPr>
          <w:lang w:val="fr-FR"/>
        </w:rPr>
        <w:t xml:space="preserve"> et le </w:t>
      </w:r>
      <w:r w:rsidR="00E16823" w:rsidRPr="00817A34">
        <w:t>plan national d’action pour la mise en œuvre des Principes directeurs des Nations Unies relatifs aux entreprises et aux droits de l’Homme</w:t>
      </w:r>
      <w:r w:rsidR="001C6C70" w:rsidRPr="00817A34">
        <w:rPr>
          <w:lang w:val="fr-FR"/>
        </w:rPr>
        <w:t>.</w:t>
      </w:r>
      <w:r w:rsidR="008D51A6" w:rsidRPr="00817A34">
        <w:rPr>
          <w:lang w:val="fr-FR"/>
        </w:rPr>
        <w:t xml:space="preserve"> </w:t>
      </w:r>
      <w:r w:rsidR="00165C57" w:rsidRPr="00817A34">
        <w:rPr>
          <w:lang w:val="fr-FR"/>
        </w:rPr>
        <w:t xml:space="preserve">Cependant, le Comité est préoccupé par le fait que certaines entreprises, en raison de leur taille, ne sont pas concernées par la loi du devoir de vigilance, ainsi que par l’effectivité de son application, notamment le respect de l’obligation des entreprises d’élaborer et de publier un plan de vigilance. </w:t>
      </w:r>
      <w:r w:rsidR="00E16823" w:rsidRPr="00817A34">
        <w:rPr>
          <w:lang w:val="fr-FR"/>
        </w:rPr>
        <w:t xml:space="preserve">Le Comité </w:t>
      </w:r>
      <w:r w:rsidR="00165C57" w:rsidRPr="00817A34">
        <w:rPr>
          <w:lang w:val="fr-FR"/>
        </w:rPr>
        <w:t>prend note</w:t>
      </w:r>
      <w:r w:rsidR="00E16823" w:rsidRPr="00817A34">
        <w:rPr>
          <w:lang w:val="fr-FR"/>
        </w:rPr>
        <w:t xml:space="preserve"> également</w:t>
      </w:r>
      <w:r w:rsidR="007B210B">
        <w:rPr>
          <w:lang w:val="fr-FR"/>
        </w:rPr>
        <w:t xml:space="preserve"> de</w:t>
      </w:r>
      <w:r w:rsidR="00E16823" w:rsidRPr="00817A34">
        <w:rPr>
          <w:lang w:val="fr-FR"/>
        </w:rPr>
        <w:t xml:space="preserve"> l’engagement de l’</w:t>
      </w:r>
      <w:r w:rsidR="00716DF9">
        <w:rPr>
          <w:lang w:val="fr-FR"/>
        </w:rPr>
        <w:t>É</w:t>
      </w:r>
      <w:r w:rsidR="00E16823" w:rsidRPr="00817A34">
        <w:rPr>
          <w:lang w:val="fr-FR"/>
        </w:rPr>
        <w:t>tat partie dans les travaux européens</w:t>
      </w:r>
      <w:r w:rsidR="007B210B">
        <w:rPr>
          <w:lang w:val="fr-FR"/>
        </w:rPr>
        <w:t>, y compris</w:t>
      </w:r>
      <w:r w:rsidR="009C1666">
        <w:rPr>
          <w:lang w:val="fr-FR"/>
        </w:rPr>
        <w:t xml:space="preserve"> </w:t>
      </w:r>
      <w:r w:rsidR="003D1AB4">
        <w:rPr>
          <w:lang w:val="fr-FR"/>
        </w:rPr>
        <w:t>pour que le secteur financier soit in</w:t>
      </w:r>
      <w:r w:rsidR="009C1666">
        <w:rPr>
          <w:lang w:val="fr-FR"/>
        </w:rPr>
        <w:t xml:space="preserve">tégré </w:t>
      </w:r>
      <w:r w:rsidR="003D1AB4">
        <w:rPr>
          <w:lang w:val="fr-FR"/>
        </w:rPr>
        <w:t xml:space="preserve">dans </w:t>
      </w:r>
      <w:r w:rsidR="00E16823" w:rsidRPr="00817A34">
        <w:rPr>
          <w:lang w:val="fr-FR"/>
        </w:rPr>
        <w:t>l</w:t>
      </w:r>
      <w:r w:rsidR="007C57E6" w:rsidRPr="00817A34">
        <w:rPr>
          <w:lang w:val="fr-FR"/>
        </w:rPr>
        <w:t xml:space="preserve">a nouvelle directive </w:t>
      </w:r>
      <w:r w:rsidR="003D1AB4">
        <w:rPr>
          <w:lang w:val="fr-FR"/>
        </w:rPr>
        <w:t xml:space="preserve">européenne </w:t>
      </w:r>
      <w:r w:rsidR="007C57E6" w:rsidRPr="00817A34">
        <w:rPr>
          <w:lang w:val="fr-FR"/>
        </w:rPr>
        <w:t xml:space="preserve">sur le </w:t>
      </w:r>
      <w:r w:rsidR="00E16823" w:rsidRPr="00817A34">
        <w:rPr>
          <w:lang w:val="fr-FR"/>
        </w:rPr>
        <w:t>devoir de</w:t>
      </w:r>
      <w:r w:rsidR="007C57E6" w:rsidRPr="00817A34">
        <w:rPr>
          <w:lang w:val="fr-FR"/>
        </w:rPr>
        <w:t xml:space="preserve"> </w:t>
      </w:r>
      <w:r w:rsidR="00E16823" w:rsidRPr="00817A34">
        <w:rPr>
          <w:lang w:val="fr-FR"/>
        </w:rPr>
        <w:t>vigilance des entreprises.</w:t>
      </w:r>
    </w:p>
    <w:p w14:paraId="7903091D" w14:textId="37A218CE" w:rsidR="00051910" w:rsidRPr="00817A34" w:rsidRDefault="0012478E" w:rsidP="00EC47B1">
      <w:pPr>
        <w:pStyle w:val="SingleTxtG"/>
        <w:tabs>
          <w:tab w:val="left" w:pos="720"/>
        </w:tabs>
        <w:rPr>
          <w:b/>
          <w:bCs/>
          <w:lang w:val="fr-FR"/>
        </w:rPr>
      </w:pPr>
      <w:r w:rsidRPr="00817A34">
        <w:rPr>
          <w:lang w:val="fr-FR"/>
        </w:rPr>
        <w:t>7</w:t>
      </w:r>
      <w:r w:rsidR="00EC47B1" w:rsidRPr="00817A34">
        <w:rPr>
          <w:lang w:val="fr-FR"/>
        </w:rPr>
        <w:t xml:space="preserve">. </w:t>
      </w:r>
      <w:r w:rsidR="00EC47B1" w:rsidRPr="00817A34">
        <w:rPr>
          <w:lang w:val="fr-FR"/>
        </w:rPr>
        <w:tab/>
      </w:r>
      <w:r w:rsidR="00EC47B1" w:rsidRPr="00817A34">
        <w:rPr>
          <w:b/>
          <w:bCs/>
          <w:lang w:val="fr-FR"/>
        </w:rPr>
        <w:t>Le Comité recommande à l’État partie</w:t>
      </w:r>
      <w:r w:rsidR="00051910" w:rsidRPr="00817A34">
        <w:rPr>
          <w:b/>
          <w:bCs/>
          <w:lang w:val="fr-FR"/>
        </w:rPr>
        <w:t xml:space="preserve"> : </w:t>
      </w:r>
    </w:p>
    <w:p w14:paraId="5FD97E2B" w14:textId="638D0822" w:rsidR="00051910" w:rsidRPr="00817A34" w:rsidRDefault="00051910" w:rsidP="00AB261D">
      <w:pPr>
        <w:pStyle w:val="SingleTxtG"/>
        <w:numPr>
          <w:ilvl w:val="0"/>
          <w:numId w:val="19"/>
        </w:numPr>
        <w:tabs>
          <w:tab w:val="left" w:pos="720"/>
        </w:tabs>
        <w:ind w:left="1134" w:firstLine="567"/>
        <w:rPr>
          <w:b/>
          <w:bCs/>
          <w:lang w:val="fr-FR"/>
        </w:rPr>
      </w:pPr>
      <w:r w:rsidRPr="00817A34">
        <w:rPr>
          <w:b/>
          <w:bCs/>
          <w:lang w:val="fr-FR"/>
        </w:rPr>
        <w:t>D’</w:t>
      </w:r>
      <w:r w:rsidRPr="00817A34">
        <w:rPr>
          <w:b/>
          <w:bCs/>
        </w:rPr>
        <w:t xml:space="preserve">étendre l'application de la loi </w:t>
      </w:r>
      <w:r w:rsidRPr="00817A34">
        <w:rPr>
          <w:b/>
          <w:bCs/>
          <w:lang w:val="fr-FR"/>
        </w:rPr>
        <w:t xml:space="preserve">relative au devoir de vigilance à </w:t>
      </w:r>
      <w:r w:rsidRPr="00817A34">
        <w:rPr>
          <w:b/>
          <w:bCs/>
        </w:rPr>
        <w:t xml:space="preserve">d'autres formes de sociétés afin de garantir que toute entreprise exerce une diligence raisonnable pour prévenir des violations des droits de l’homme, notamment des droits économiques, sociaux et culturels ; </w:t>
      </w:r>
    </w:p>
    <w:p w14:paraId="6F35252C" w14:textId="59C6D9BB" w:rsidR="00EC47B1" w:rsidRPr="00817A34" w:rsidRDefault="00C73B05" w:rsidP="00AB261D">
      <w:pPr>
        <w:pStyle w:val="SingleTxtG"/>
        <w:numPr>
          <w:ilvl w:val="0"/>
          <w:numId w:val="19"/>
        </w:numPr>
        <w:tabs>
          <w:tab w:val="left" w:pos="720"/>
        </w:tabs>
        <w:ind w:left="1134" w:firstLine="567"/>
        <w:rPr>
          <w:b/>
          <w:bCs/>
          <w:lang w:val="fr-FR"/>
        </w:rPr>
      </w:pPr>
      <w:r w:rsidRPr="00817A34">
        <w:rPr>
          <w:b/>
          <w:bCs/>
          <w:lang w:val="fr-FR"/>
        </w:rPr>
        <w:t>De dresser un bilan sur l’application de la loi afin d’a</w:t>
      </w:r>
      <w:r w:rsidR="00051910" w:rsidRPr="00817A34">
        <w:rPr>
          <w:b/>
          <w:bCs/>
          <w:lang w:val="fr-FR"/>
        </w:rPr>
        <w:t xml:space="preserve">dopter les mesures nécessaires pour garantir </w:t>
      </w:r>
      <w:r w:rsidRPr="00817A34">
        <w:rPr>
          <w:b/>
          <w:bCs/>
          <w:lang w:val="fr-FR"/>
        </w:rPr>
        <w:t xml:space="preserve">son </w:t>
      </w:r>
      <w:r w:rsidR="00051910" w:rsidRPr="00817A34">
        <w:rPr>
          <w:b/>
          <w:bCs/>
          <w:lang w:val="fr-FR"/>
        </w:rPr>
        <w:t xml:space="preserve">application </w:t>
      </w:r>
      <w:r w:rsidRPr="00817A34">
        <w:rPr>
          <w:b/>
          <w:bCs/>
          <w:lang w:val="fr-FR"/>
        </w:rPr>
        <w:t xml:space="preserve">de manière </w:t>
      </w:r>
      <w:r w:rsidR="00051910" w:rsidRPr="00817A34">
        <w:rPr>
          <w:b/>
          <w:bCs/>
          <w:lang w:val="fr-FR"/>
        </w:rPr>
        <w:t>effective</w:t>
      </w:r>
      <w:r w:rsidRPr="00817A34">
        <w:rPr>
          <w:b/>
          <w:bCs/>
          <w:lang w:val="fr-FR"/>
        </w:rPr>
        <w:t> </w:t>
      </w:r>
      <w:r w:rsidR="00051910" w:rsidRPr="00817A34">
        <w:rPr>
          <w:b/>
          <w:bCs/>
          <w:lang w:val="fr-FR"/>
        </w:rPr>
        <w:t xml:space="preserve">; </w:t>
      </w:r>
    </w:p>
    <w:p w14:paraId="60F4C8B8" w14:textId="339C9771" w:rsidR="00051910" w:rsidRPr="00817A34" w:rsidRDefault="00C73B05" w:rsidP="00AB261D">
      <w:pPr>
        <w:pStyle w:val="SingleTxtG"/>
        <w:numPr>
          <w:ilvl w:val="0"/>
          <w:numId w:val="19"/>
        </w:numPr>
        <w:tabs>
          <w:tab w:val="left" w:pos="720"/>
        </w:tabs>
        <w:ind w:left="1134" w:firstLine="567"/>
        <w:rPr>
          <w:b/>
          <w:bCs/>
          <w:lang w:val="fr-FR"/>
        </w:rPr>
      </w:pPr>
      <w:r w:rsidRPr="00817A34">
        <w:rPr>
          <w:b/>
          <w:bCs/>
          <w:lang w:val="fr-FR"/>
        </w:rPr>
        <w:t>De v</w:t>
      </w:r>
      <w:r w:rsidR="00051910" w:rsidRPr="00817A34">
        <w:rPr>
          <w:b/>
          <w:bCs/>
          <w:lang w:val="fr-FR"/>
        </w:rPr>
        <w:t>eiller à ce que les entreprises respectent le</w:t>
      </w:r>
      <w:r w:rsidR="00BA76A9" w:rsidRPr="00817A34">
        <w:rPr>
          <w:b/>
          <w:bCs/>
          <w:lang w:val="fr-FR"/>
        </w:rPr>
        <w:t>urs</w:t>
      </w:r>
      <w:r w:rsidR="00051910" w:rsidRPr="00817A34">
        <w:rPr>
          <w:b/>
          <w:bCs/>
          <w:lang w:val="fr-FR"/>
        </w:rPr>
        <w:t xml:space="preserve"> obligations de vigilance, notamment celle de l’élaboration et </w:t>
      </w:r>
      <w:r w:rsidR="003D1AB4">
        <w:rPr>
          <w:b/>
          <w:bCs/>
          <w:lang w:val="fr-FR"/>
        </w:rPr>
        <w:t xml:space="preserve">de la </w:t>
      </w:r>
      <w:r w:rsidR="00051910" w:rsidRPr="00817A34">
        <w:rPr>
          <w:b/>
          <w:bCs/>
          <w:lang w:val="fr-FR"/>
        </w:rPr>
        <w:t>publication d’un plan de vigilance</w:t>
      </w:r>
      <w:r w:rsidR="00BA76A9" w:rsidRPr="00817A34">
        <w:rPr>
          <w:b/>
          <w:bCs/>
          <w:lang w:val="fr-FR"/>
        </w:rPr>
        <w:t xml:space="preserve"> en respectant les exigences contenues dans la loi</w:t>
      </w:r>
      <w:r w:rsidR="00051910" w:rsidRPr="00817A34">
        <w:rPr>
          <w:b/>
          <w:bCs/>
          <w:lang w:val="fr-FR"/>
        </w:rPr>
        <w:t xml:space="preserve"> ; </w:t>
      </w:r>
    </w:p>
    <w:p w14:paraId="476F3D74" w14:textId="73B40CE0" w:rsidR="00C73B05" w:rsidRPr="00817A34" w:rsidRDefault="00C73B05" w:rsidP="00AB261D">
      <w:pPr>
        <w:pStyle w:val="SingleTxtG"/>
        <w:numPr>
          <w:ilvl w:val="0"/>
          <w:numId w:val="19"/>
        </w:numPr>
        <w:tabs>
          <w:tab w:val="left" w:pos="720"/>
        </w:tabs>
        <w:ind w:left="1134" w:firstLine="567"/>
        <w:rPr>
          <w:b/>
          <w:bCs/>
          <w:lang w:val="fr-FR"/>
        </w:rPr>
      </w:pPr>
      <w:r w:rsidRPr="00817A34">
        <w:rPr>
          <w:b/>
          <w:bCs/>
          <w:lang w:val="fr-FR"/>
        </w:rPr>
        <w:t>De mener des campagnes de sensibilisation</w:t>
      </w:r>
      <w:r w:rsidR="00165C57" w:rsidRPr="00817A34">
        <w:rPr>
          <w:b/>
          <w:bCs/>
          <w:lang w:val="fr-FR"/>
        </w:rPr>
        <w:t xml:space="preserve"> sur les dispositions de la loi</w:t>
      </w:r>
      <w:r w:rsidRPr="00817A34">
        <w:rPr>
          <w:b/>
          <w:bCs/>
          <w:lang w:val="fr-FR"/>
        </w:rPr>
        <w:t xml:space="preserve"> auprès des autorités administratives et judiciaires en charge de</w:t>
      </w:r>
      <w:r w:rsidR="00165C57" w:rsidRPr="00817A34">
        <w:rPr>
          <w:b/>
          <w:bCs/>
          <w:lang w:val="fr-FR"/>
        </w:rPr>
        <w:t xml:space="preserve"> son</w:t>
      </w:r>
      <w:r w:rsidRPr="00817A34">
        <w:rPr>
          <w:b/>
          <w:bCs/>
          <w:lang w:val="fr-FR"/>
        </w:rPr>
        <w:t xml:space="preserve"> application ;</w:t>
      </w:r>
    </w:p>
    <w:p w14:paraId="3109DA14" w14:textId="43531043" w:rsidR="00051910" w:rsidRPr="00817A34" w:rsidRDefault="00C73B05" w:rsidP="00AB261D">
      <w:pPr>
        <w:pStyle w:val="SingleTxtG"/>
        <w:numPr>
          <w:ilvl w:val="0"/>
          <w:numId w:val="19"/>
        </w:numPr>
        <w:tabs>
          <w:tab w:val="left" w:pos="720"/>
        </w:tabs>
        <w:ind w:left="1134" w:firstLine="567"/>
        <w:rPr>
          <w:b/>
          <w:bCs/>
          <w:lang w:val="fr-FR"/>
        </w:rPr>
      </w:pPr>
      <w:r w:rsidRPr="00817A34">
        <w:rPr>
          <w:b/>
          <w:bCs/>
          <w:lang w:val="fr-FR"/>
        </w:rPr>
        <w:t>De p</w:t>
      </w:r>
      <w:r w:rsidR="00BA76A9" w:rsidRPr="00817A34">
        <w:rPr>
          <w:b/>
          <w:bCs/>
          <w:lang w:val="fr-FR"/>
        </w:rPr>
        <w:t>oursuivre son engagement dans les travaux d’une directive européenne sur le devoir de vigilance des entreprises, en assurant que tous les secteurs économiques, y compris le secteur financier soient soumis à l’obligation de diligence raisonnable</w:t>
      </w:r>
      <w:r w:rsidR="00587298" w:rsidRPr="00817A34">
        <w:rPr>
          <w:b/>
          <w:bCs/>
          <w:lang w:val="fr-FR"/>
        </w:rPr>
        <w:t> ;</w:t>
      </w:r>
    </w:p>
    <w:p w14:paraId="249E0306" w14:textId="64A3C569" w:rsidR="00BA76A9" w:rsidRPr="00817A34" w:rsidRDefault="00C73B05" w:rsidP="00AB261D">
      <w:pPr>
        <w:pStyle w:val="SingleTxtG"/>
        <w:numPr>
          <w:ilvl w:val="0"/>
          <w:numId w:val="19"/>
        </w:numPr>
        <w:tabs>
          <w:tab w:val="left" w:pos="720"/>
        </w:tabs>
        <w:ind w:left="1134" w:firstLine="567"/>
        <w:rPr>
          <w:b/>
          <w:bCs/>
          <w:lang w:val="fr-FR"/>
        </w:rPr>
      </w:pPr>
      <w:r w:rsidRPr="00817A34">
        <w:rPr>
          <w:b/>
          <w:bCs/>
        </w:rPr>
        <w:t>De tenir compte de l’observation générale n° 24 (2017) du Comité sur les obligations des États en vertu du Pacte international relatif aux droits économiques, sociaux et culturels dans le contexte des activités des entreprises</w:t>
      </w:r>
      <w:r w:rsidR="000336A3" w:rsidRPr="00817A34">
        <w:rPr>
          <w:b/>
          <w:bCs/>
        </w:rPr>
        <w:t xml:space="preserve"> (para. 2 et para. 16)</w:t>
      </w:r>
    </w:p>
    <w:p w14:paraId="64E0060A" w14:textId="38515504" w:rsidR="00EC47B1" w:rsidRPr="00817A34" w:rsidRDefault="00EC47B1" w:rsidP="00AB261D">
      <w:pPr>
        <w:pStyle w:val="H23G"/>
        <w:tabs>
          <w:tab w:val="clear" w:pos="720"/>
          <w:tab w:val="clear" w:pos="851"/>
        </w:tabs>
        <w:ind w:left="1134"/>
      </w:pPr>
      <w:r w:rsidRPr="00817A34">
        <w:t>Changement climatique</w:t>
      </w:r>
      <w:r w:rsidRPr="00817A34">
        <w:rPr>
          <w:b w:val="0"/>
          <w:bCs/>
        </w:rPr>
        <w:t xml:space="preserve"> </w:t>
      </w:r>
    </w:p>
    <w:p w14:paraId="01548D9F" w14:textId="494E5532" w:rsidR="00EC47B1" w:rsidRPr="00817A34" w:rsidRDefault="00165C57" w:rsidP="00525A4B">
      <w:pPr>
        <w:pStyle w:val="SingleTxtG"/>
        <w:tabs>
          <w:tab w:val="left" w:pos="720"/>
        </w:tabs>
      </w:pPr>
      <w:r w:rsidRPr="00817A34">
        <w:rPr>
          <w:lang w:val="fr-FR"/>
        </w:rPr>
        <w:t>8</w:t>
      </w:r>
      <w:r w:rsidR="00EC47B1" w:rsidRPr="00817A34">
        <w:rPr>
          <w:lang w:val="fr-FR"/>
        </w:rPr>
        <w:t xml:space="preserve">. </w:t>
      </w:r>
      <w:r w:rsidR="00EC47B1" w:rsidRPr="00817A34">
        <w:rPr>
          <w:lang w:val="fr-FR"/>
        </w:rPr>
        <w:tab/>
      </w:r>
      <w:r w:rsidR="00010461" w:rsidRPr="00817A34">
        <w:rPr>
          <w:lang w:val="fr-FR"/>
        </w:rPr>
        <w:t>Bien que le Comité prenne note des mesures prises par l’</w:t>
      </w:r>
      <w:r w:rsidR="00716DF9">
        <w:rPr>
          <w:lang w:val="fr-FR"/>
        </w:rPr>
        <w:t>É</w:t>
      </w:r>
      <w:r w:rsidR="00010461" w:rsidRPr="00817A34">
        <w:rPr>
          <w:lang w:val="fr-FR"/>
        </w:rPr>
        <w:t xml:space="preserve">tat partie pour faire face aux problèmes liés aux changements climatiques, notamment la stratégie nationale bas carbone adoptée en 2021, ainsi que la </w:t>
      </w:r>
      <w:r w:rsidR="00010461" w:rsidRPr="00817A34">
        <w:t xml:space="preserve">loi relative à l’énergie et au climat en 2019 et la loi « résilience et climat » en 2021, il est préoccupé par les constats </w:t>
      </w:r>
      <w:r w:rsidR="003D1AB4">
        <w:t>du</w:t>
      </w:r>
      <w:r w:rsidR="00010461" w:rsidRPr="00817A34">
        <w:t xml:space="preserve"> Haut Conseil pour le Climat</w:t>
      </w:r>
      <w:r w:rsidR="00010461" w:rsidRPr="00817A34">
        <w:rPr>
          <w:lang w:val="fr-FR"/>
        </w:rPr>
        <w:t xml:space="preserve"> </w:t>
      </w:r>
      <w:r w:rsidR="003D1AB4">
        <w:rPr>
          <w:lang w:val="fr-FR"/>
        </w:rPr>
        <w:t xml:space="preserve">qui considère </w:t>
      </w:r>
      <w:r w:rsidR="00010461" w:rsidRPr="00817A34">
        <w:rPr>
          <w:lang w:val="fr-FR"/>
        </w:rPr>
        <w:t>que ces</w:t>
      </w:r>
      <w:r w:rsidR="00525A4B" w:rsidRPr="00817A34">
        <w:rPr>
          <w:lang w:val="fr-FR"/>
        </w:rPr>
        <w:t xml:space="preserve"> mesures </w:t>
      </w:r>
      <w:r w:rsidR="00010461" w:rsidRPr="00817A34">
        <w:rPr>
          <w:lang w:val="fr-FR"/>
        </w:rPr>
        <w:t xml:space="preserve">n’ont pas permis d’accélérer </w:t>
      </w:r>
      <w:r w:rsidR="00010461" w:rsidRPr="00817A34">
        <w:t>la</w:t>
      </w:r>
      <w:r w:rsidR="00525A4B" w:rsidRPr="00817A34">
        <w:t xml:space="preserve"> réduction des émissions de gaz à effet de serre </w:t>
      </w:r>
      <w:r w:rsidRPr="00817A34">
        <w:t xml:space="preserve">et </w:t>
      </w:r>
      <w:r w:rsidR="00010461" w:rsidRPr="00817A34">
        <w:t xml:space="preserve">semblent ne pas être </w:t>
      </w:r>
      <w:r w:rsidR="00525A4B" w:rsidRPr="00817A34">
        <w:t>suffisantes pour permettre à l’État partie de s’acquitter de ses obligations au titre de l’Accord de Paris</w:t>
      </w:r>
      <w:r w:rsidR="007A217D" w:rsidRPr="00817A34">
        <w:t>.</w:t>
      </w:r>
      <w:r w:rsidR="00010461" w:rsidRPr="00817A34">
        <w:t xml:space="preserve"> Le Comité </w:t>
      </w:r>
      <w:r w:rsidR="00491C85" w:rsidRPr="00817A34">
        <w:t>est également préoccupé par l’absence des mesures adéquates d’adaptation aux changements climatiques qui prennent en compte ses effets dans l’exercice des droits économiques, sociaux et culturels des populations plus vulnérables, notamment celles qui habitent dans les territoires d’outre-mer (art. 2.1 et 11).</w:t>
      </w:r>
    </w:p>
    <w:p w14:paraId="00C31DEF" w14:textId="15D7B3E2" w:rsidR="00525563" w:rsidRPr="00817A34" w:rsidRDefault="00165C57" w:rsidP="007A217D">
      <w:pPr>
        <w:pStyle w:val="SingleTxtG"/>
        <w:tabs>
          <w:tab w:val="left" w:pos="720"/>
        </w:tabs>
        <w:rPr>
          <w:b/>
          <w:bCs/>
        </w:rPr>
      </w:pPr>
      <w:r w:rsidRPr="00AB261D">
        <w:t>9.</w:t>
      </w:r>
      <w:r w:rsidRPr="00817A34">
        <w:rPr>
          <w:b/>
          <w:bCs/>
        </w:rPr>
        <w:tab/>
      </w:r>
      <w:r w:rsidR="00525A4B" w:rsidRPr="00817A34">
        <w:rPr>
          <w:b/>
          <w:bCs/>
        </w:rPr>
        <w:t>Le Comité recommande à l’État partie</w:t>
      </w:r>
      <w:r w:rsidR="00525563" w:rsidRPr="00817A34">
        <w:rPr>
          <w:b/>
          <w:bCs/>
        </w:rPr>
        <w:t xml:space="preserve"> : </w:t>
      </w:r>
    </w:p>
    <w:p w14:paraId="39128064" w14:textId="42B78493" w:rsidR="00525563" w:rsidRPr="00817A34" w:rsidRDefault="00525A4B" w:rsidP="00AB261D">
      <w:pPr>
        <w:pStyle w:val="SingleTxtG"/>
        <w:numPr>
          <w:ilvl w:val="0"/>
          <w:numId w:val="20"/>
        </w:numPr>
        <w:tabs>
          <w:tab w:val="left" w:pos="720"/>
        </w:tabs>
        <w:ind w:left="1134" w:firstLine="567"/>
        <w:rPr>
          <w:b/>
          <w:bCs/>
        </w:rPr>
      </w:pPr>
      <w:r w:rsidRPr="00817A34">
        <w:rPr>
          <w:b/>
          <w:bCs/>
        </w:rPr>
        <w:t xml:space="preserve"> </w:t>
      </w:r>
      <w:r w:rsidR="00525563" w:rsidRPr="00817A34">
        <w:rPr>
          <w:b/>
          <w:bCs/>
        </w:rPr>
        <w:t>D</w:t>
      </w:r>
      <w:r w:rsidR="00491C85" w:rsidRPr="00817A34">
        <w:rPr>
          <w:b/>
          <w:bCs/>
        </w:rPr>
        <w:t xml:space="preserve">’accroître ses actions pour </w:t>
      </w:r>
      <w:r w:rsidR="00525563" w:rsidRPr="00817A34">
        <w:rPr>
          <w:b/>
          <w:bCs/>
        </w:rPr>
        <w:t xml:space="preserve">atteindre l’objectif de </w:t>
      </w:r>
      <w:r w:rsidR="005A0B6E" w:rsidRPr="00817A34">
        <w:rPr>
          <w:b/>
          <w:bCs/>
        </w:rPr>
        <w:t>réduction des émissions de gaz à effet de serre afin d</w:t>
      </w:r>
      <w:r w:rsidR="00525563" w:rsidRPr="00817A34">
        <w:rPr>
          <w:b/>
          <w:bCs/>
        </w:rPr>
        <w:t>e respecter l’</w:t>
      </w:r>
      <w:r w:rsidRPr="00817A34">
        <w:rPr>
          <w:b/>
          <w:bCs/>
        </w:rPr>
        <w:t>Accord de Paris. À cet égard, il recommande à l’État partie de</w:t>
      </w:r>
      <w:r w:rsidR="005A0B6E" w:rsidRPr="00817A34">
        <w:rPr>
          <w:b/>
          <w:bCs/>
        </w:rPr>
        <w:t xml:space="preserve"> </w:t>
      </w:r>
      <w:r w:rsidR="00525563" w:rsidRPr="00817A34">
        <w:rPr>
          <w:b/>
          <w:bCs/>
        </w:rPr>
        <w:t>prendre les mesures nécessaires pour respecter la décision n° 427301 du 1er juillet 2021 du Conseil d’</w:t>
      </w:r>
      <w:r w:rsidR="00716DF9">
        <w:rPr>
          <w:b/>
          <w:bCs/>
        </w:rPr>
        <w:t>É</w:t>
      </w:r>
      <w:r w:rsidR="00525563" w:rsidRPr="00817A34">
        <w:rPr>
          <w:b/>
          <w:bCs/>
        </w:rPr>
        <w:t xml:space="preserve">tat ; </w:t>
      </w:r>
    </w:p>
    <w:p w14:paraId="5E04E455" w14:textId="11D3BDBE" w:rsidR="00DC2EC9" w:rsidRPr="00817A34" w:rsidRDefault="00165C57" w:rsidP="00AB261D">
      <w:pPr>
        <w:pStyle w:val="SingleTxtG"/>
        <w:numPr>
          <w:ilvl w:val="0"/>
          <w:numId w:val="20"/>
        </w:numPr>
        <w:tabs>
          <w:tab w:val="left" w:pos="720"/>
        </w:tabs>
        <w:ind w:left="1134" w:firstLine="567"/>
        <w:rPr>
          <w:lang w:val="fr-FR"/>
        </w:rPr>
      </w:pPr>
      <w:r w:rsidRPr="00817A34">
        <w:rPr>
          <w:b/>
          <w:bCs/>
        </w:rPr>
        <w:lastRenderedPageBreak/>
        <w:t>D’adopter des</w:t>
      </w:r>
      <w:r w:rsidR="00525563" w:rsidRPr="00817A34">
        <w:rPr>
          <w:b/>
          <w:bCs/>
        </w:rPr>
        <w:t xml:space="preserve"> mesures adéquates d’adaptation axées sur les effets les plus importants des changements climatiques</w:t>
      </w:r>
      <w:r w:rsidR="00DC2EC9" w:rsidRPr="00817A34">
        <w:rPr>
          <w:b/>
          <w:bCs/>
        </w:rPr>
        <w:t xml:space="preserve"> et tienne compte des </w:t>
      </w:r>
      <w:r w:rsidR="00DC2EC9" w:rsidRPr="00817A34">
        <w:rPr>
          <w:b/>
          <w:bCs/>
          <w:lang w:val="fr-FR"/>
        </w:rPr>
        <w:t xml:space="preserve">effets inégaux du changement climatique sur les personnes </w:t>
      </w:r>
      <w:r w:rsidR="00E71FC8" w:rsidRPr="00817A34">
        <w:rPr>
          <w:b/>
          <w:bCs/>
          <w:lang w:val="fr-FR"/>
        </w:rPr>
        <w:t xml:space="preserve">dans des situations </w:t>
      </w:r>
      <w:r w:rsidR="00DC2EC9" w:rsidRPr="00817A34">
        <w:rPr>
          <w:b/>
          <w:bCs/>
          <w:lang w:val="fr-FR"/>
        </w:rPr>
        <w:t>plus vulnérables</w:t>
      </w:r>
      <w:r w:rsidR="00E71FC8" w:rsidRPr="00817A34">
        <w:rPr>
          <w:b/>
          <w:bCs/>
          <w:lang w:val="fr-FR"/>
        </w:rPr>
        <w:t xml:space="preserve"> et </w:t>
      </w:r>
      <w:r w:rsidR="004C6F85" w:rsidRPr="00817A34">
        <w:rPr>
          <w:b/>
          <w:bCs/>
          <w:lang w:val="fr-FR"/>
        </w:rPr>
        <w:t>défavorisées et</w:t>
      </w:r>
      <w:r w:rsidR="00DC2EC9" w:rsidRPr="00817A34">
        <w:rPr>
          <w:b/>
          <w:bCs/>
          <w:lang w:val="fr-FR"/>
        </w:rPr>
        <w:t xml:space="preserve"> celles qui habitent dans les territoires d’outre-mer ; </w:t>
      </w:r>
    </w:p>
    <w:p w14:paraId="2D91A3EC" w14:textId="27403FCA" w:rsidR="00DC2EC9" w:rsidRPr="00817A34" w:rsidRDefault="00DC2EC9" w:rsidP="00AB261D">
      <w:pPr>
        <w:pStyle w:val="SingleTxtG"/>
        <w:numPr>
          <w:ilvl w:val="0"/>
          <w:numId w:val="20"/>
        </w:numPr>
        <w:tabs>
          <w:tab w:val="left" w:pos="720"/>
        </w:tabs>
        <w:ind w:left="1134" w:firstLine="567"/>
        <w:rPr>
          <w:lang w:val="fr-FR"/>
        </w:rPr>
      </w:pPr>
      <w:r w:rsidRPr="00817A34">
        <w:rPr>
          <w:b/>
        </w:rPr>
        <w:t>De</w:t>
      </w:r>
      <w:r w:rsidR="00525563" w:rsidRPr="00817A34">
        <w:rPr>
          <w:b/>
          <w:bCs/>
        </w:rPr>
        <w:t xml:space="preserve"> tenir </w:t>
      </w:r>
      <w:r w:rsidR="00525563" w:rsidRPr="00817A34">
        <w:rPr>
          <w:b/>
          <w:bCs/>
          <w:lang w:val="fr-FR"/>
        </w:rPr>
        <w:t>compte</w:t>
      </w:r>
      <w:r w:rsidR="00525563" w:rsidRPr="00817A34">
        <w:rPr>
          <w:b/>
          <w:bCs/>
        </w:rPr>
        <w:t xml:space="preserve"> de </w:t>
      </w:r>
      <w:r w:rsidR="00525A4B" w:rsidRPr="00817A34">
        <w:rPr>
          <w:b/>
          <w:bCs/>
        </w:rPr>
        <w:t>la déclaration du Comité sur les changements climatiques et le Pacte international relatif aux droits économiques, sociaux et culturels</w:t>
      </w:r>
      <w:r w:rsidR="00B51CD8">
        <w:rPr>
          <w:b/>
          <w:bCs/>
        </w:rPr>
        <w:t xml:space="preserve"> (2018)</w:t>
      </w:r>
      <w:r w:rsidR="00525563" w:rsidRPr="00817A34">
        <w:rPr>
          <w:b/>
          <w:bCs/>
        </w:rPr>
        <w:t xml:space="preserve">. </w:t>
      </w:r>
      <w:r w:rsidR="007A217D" w:rsidRPr="00817A34">
        <w:rPr>
          <w:b/>
          <w:bCs/>
        </w:rPr>
        <w:t xml:space="preserve"> </w:t>
      </w:r>
    </w:p>
    <w:p w14:paraId="06A949C5" w14:textId="3D52D3BC" w:rsidR="00AB5CCA" w:rsidRPr="00817A34" w:rsidRDefault="00AB5CCA" w:rsidP="00AB261D">
      <w:pPr>
        <w:pStyle w:val="H23G"/>
        <w:tabs>
          <w:tab w:val="clear" w:pos="720"/>
          <w:tab w:val="clear" w:pos="851"/>
        </w:tabs>
        <w:ind w:left="1134"/>
        <w:rPr>
          <w:b w:val="0"/>
          <w:bCs/>
        </w:rPr>
      </w:pPr>
      <w:r w:rsidRPr="00817A34">
        <w:rPr>
          <w:bCs/>
        </w:rPr>
        <w:t xml:space="preserve">Aide au développement </w:t>
      </w:r>
    </w:p>
    <w:p w14:paraId="3AF6367A" w14:textId="18148280" w:rsidR="00100763" w:rsidRPr="00817A34" w:rsidRDefault="00165C57" w:rsidP="009A7140">
      <w:pPr>
        <w:pStyle w:val="SingleTxtG"/>
        <w:tabs>
          <w:tab w:val="left" w:pos="720"/>
        </w:tabs>
      </w:pPr>
      <w:r w:rsidRPr="00817A34">
        <w:t>10.</w:t>
      </w:r>
      <w:r w:rsidRPr="00817A34">
        <w:tab/>
      </w:r>
      <w:r w:rsidR="00100763" w:rsidRPr="00817A34">
        <w:t xml:space="preserve">Le Comité </w:t>
      </w:r>
      <w:r w:rsidR="007507A6" w:rsidRPr="00817A34">
        <w:t>salue l’adoption de la lo</w:t>
      </w:r>
      <w:r w:rsidR="000262C6" w:rsidRPr="00817A34">
        <w:t>i</w:t>
      </w:r>
      <w:r w:rsidR="007507A6" w:rsidRPr="00817A34">
        <w:t xml:space="preserve"> de programmation relative au développement solidaire et à la lutte contre les inégalités mondiales, </w:t>
      </w:r>
      <w:r w:rsidR="00DA5B3F" w:rsidRPr="00817A34">
        <w:t xml:space="preserve">ainsi que la </w:t>
      </w:r>
      <w:r w:rsidR="00716DF9">
        <w:t>S</w:t>
      </w:r>
      <w:r w:rsidR="00DA5B3F" w:rsidRPr="00817A34">
        <w:t>tratégie interministérielle « Droits humains et développement » du 10 décembre 2018.</w:t>
      </w:r>
      <w:r w:rsidR="00080D3D" w:rsidRPr="00817A34">
        <w:t xml:space="preserve"> Le Comité reste néanmoins préoccupé par</w:t>
      </w:r>
      <w:r w:rsidR="009A7140" w:rsidRPr="00817A34">
        <w:t xml:space="preserve"> l’absence des mécanismes effectifs pour évaluer l’impact </w:t>
      </w:r>
      <w:r w:rsidR="00767534" w:rsidRPr="00817A34">
        <w:t xml:space="preserve">des opérations financées par les institutions d’aide au développement </w:t>
      </w:r>
      <w:r w:rsidR="009A7140" w:rsidRPr="00817A34">
        <w:t xml:space="preserve">sur </w:t>
      </w:r>
      <w:r w:rsidR="00767534" w:rsidRPr="00817A34">
        <w:t>la jouissance d</w:t>
      </w:r>
      <w:r w:rsidR="009A7140" w:rsidRPr="00817A34">
        <w:t xml:space="preserve">es droits </w:t>
      </w:r>
      <w:r w:rsidR="00767534" w:rsidRPr="00817A34">
        <w:t>contenus dans</w:t>
      </w:r>
      <w:r w:rsidR="009A7140" w:rsidRPr="00817A34">
        <w:t xml:space="preserve"> le Pacte. </w:t>
      </w:r>
      <w:r w:rsidR="005248AD" w:rsidRPr="00817A34">
        <w:t>À</w:t>
      </w:r>
      <w:r w:rsidR="001B7F25" w:rsidRPr="00817A34">
        <w:t xml:space="preserve"> cet égard</w:t>
      </w:r>
      <w:r w:rsidR="009A7140" w:rsidRPr="00817A34">
        <w:t xml:space="preserve">, le Comité soulève avec préoccupation </w:t>
      </w:r>
      <w:r w:rsidR="00080D3D" w:rsidRPr="00817A34">
        <w:t xml:space="preserve">le financement accordé par l’institution financière </w:t>
      </w:r>
      <w:proofErr w:type="spellStart"/>
      <w:r w:rsidR="00080D3D" w:rsidRPr="00817A34">
        <w:t>Proparco</w:t>
      </w:r>
      <w:proofErr w:type="spellEnd"/>
      <w:r w:rsidR="00080D3D" w:rsidRPr="00817A34">
        <w:t xml:space="preserve"> </w:t>
      </w:r>
      <w:r w:rsidR="001B7F25" w:rsidRPr="00817A34">
        <w:t xml:space="preserve">(filiale de l’Agence Française de Développement) </w:t>
      </w:r>
      <w:r w:rsidR="00080D3D" w:rsidRPr="00817A34">
        <w:t xml:space="preserve">aux </w:t>
      </w:r>
      <w:r w:rsidR="009A7140" w:rsidRPr="00817A34">
        <w:t>activités</w:t>
      </w:r>
      <w:r w:rsidR="00080D3D" w:rsidRPr="00817A34">
        <w:t xml:space="preserve"> de Bridge International </w:t>
      </w:r>
      <w:proofErr w:type="spellStart"/>
      <w:r w:rsidR="00080D3D" w:rsidRPr="00817A34">
        <w:t>Academies</w:t>
      </w:r>
      <w:proofErr w:type="spellEnd"/>
      <w:r w:rsidR="00080D3D" w:rsidRPr="00817A34">
        <w:t xml:space="preserve"> dont leurs activités ont été fortement mises en cause pour leur incidence négative sur les droits énoncés dans le Pacte.</w:t>
      </w:r>
      <w:r w:rsidR="009A7140" w:rsidRPr="00817A34">
        <w:t xml:space="preserve"> Finalement,</w:t>
      </w:r>
      <w:r w:rsidR="00080D3D" w:rsidRPr="00817A34">
        <w:t xml:space="preserve"> </w:t>
      </w:r>
      <w:r w:rsidR="009A7140" w:rsidRPr="00817A34">
        <w:t>l</w:t>
      </w:r>
      <w:r w:rsidR="00DA5B3F" w:rsidRPr="00817A34">
        <w:t>e Comité regrette que</w:t>
      </w:r>
      <w:r w:rsidR="00767534" w:rsidRPr="00817A34">
        <w:t>,</w:t>
      </w:r>
      <w:r w:rsidR="00DA5B3F" w:rsidRPr="00817A34">
        <w:t xml:space="preserve"> malgré</w:t>
      </w:r>
      <w:r w:rsidR="00767534" w:rsidRPr="00817A34">
        <w:t>,</w:t>
      </w:r>
      <w:r w:rsidR="00DA5B3F" w:rsidRPr="00817A34">
        <w:t xml:space="preserve"> </w:t>
      </w:r>
      <w:r w:rsidR="007507A6" w:rsidRPr="00817A34">
        <w:t>l’augmentation de l’aide publique au développement à 0,56%</w:t>
      </w:r>
      <w:r w:rsidR="000262C6" w:rsidRPr="00817A34">
        <w:t xml:space="preserve"> du PNB</w:t>
      </w:r>
      <w:r w:rsidR="00DA5B3F" w:rsidRPr="00817A34">
        <w:t xml:space="preserve">, celle-ci reste </w:t>
      </w:r>
      <w:r w:rsidR="00100763" w:rsidRPr="00817A34">
        <w:t>inférieur</w:t>
      </w:r>
      <w:r w:rsidR="00F96814">
        <w:t>e</w:t>
      </w:r>
      <w:r w:rsidR="00100763" w:rsidRPr="00817A34">
        <w:t xml:space="preserve"> à l’objectif convenu au niveau international de 0,7 % du PNB</w:t>
      </w:r>
      <w:r w:rsidR="00EC42C0" w:rsidRPr="00817A34">
        <w:t xml:space="preserve"> (art. 2</w:t>
      </w:r>
      <w:r w:rsidR="00767534" w:rsidRPr="00817A34">
        <w:t>.1</w:t>
      </w:r>
      <w:r w:rsidR="00EC42C0" w:rsidRPr="00817A34">
        <w:t>)</w:t>
      </w:r>
      <w:r w:rsidR="00100763" w:rsidRPr="00817A34">
        <w:t>.</w:t>
      </w:r>
    </w:p>
    <w:p w14:paraId="6870ADE6" w14:textId="2E8E53AB" w:rsidR="00BF5D06" w:rsidRPr="00817A34" w:rsidRDefault="00767534" w:rsidP="00BF5D06">
      <w:pPr>
        <w:pStyle w:val="SingleTxtG"/>
        <w:tabs>
          <w:tab w:val="left" w:pos="720"/>
        </w:tabs>
        <w:rPr>
          <w:b/>
          <w:bCs/>
          <w:lang w:eastAsia="zh-CN"/>
        </w:rPr>
      </w:pPr>
      <w:r w:rsidRPr="00AB261D">
        <w:rPr>
          <w:lang w:eastAsia="zh-CN"/>
        </w:rPr>
        <w:t>11.</w:t>
      </w:r>
      <w:r w:rsidRPr="00817A34">
        <w:rPr>
          <w:b/>
          <w:bCs/>
          <w:lang w:eastAsia="zh-CN"/>
        </w:rPr>
        <w:tab/>
      </w:r>
      <w:r w:rsidR="001077D9" w:rsidRPr="00817A34">
        <w:rPr>
          <w:b/>
          <w:bCs/>
          <w:lang w:eastAsia="zh-CN"/>
        </w:rPr>
        <w:t>Le Comité</w:t>
      </w:r>
      <w:r w:rsidR="009A7140" w:rsidRPr="00817A34">
        <w:rPr>
          <w:b/>
          <w:bCs/>
          <w:lang w:eastAsia="zh-CN"/>
        </w:rPr>
        <w:t xml:space="preserve"> réitère sa recommandation antérieur</w:t>
      </w:r>
      <w:r w:rsidR="003D1AB4">
        <w:rPr>
          <w:b/>
          <w:bCs/>
          <w:lang w:eastAsia="zh-CN"/>
        </w:rPr>
        <w:t>e</w:t>
      </w:r>
      <w:r w:rsidR="009A7140" w:rsidRPr="00817A34">
        <w:rPr>
          <w:rStyle w:val="Appelnotedebasdep"/>
          <w:b/>
          <w:bCs/>
          <w:lang w:eastAsia="zh-CN"/>
        </w:rPr>
        <w:footnoteReference w:id="7"/>
      </w:r>
      <w:r w:rsidR="001077D9" w:rsidRPr="00817A34">
        <w:rPr>
          <w:b/>
          <w:bCs/>
          <w:lang w:eastAsia="zh-CN"/>
        </w:rPr>
        <w:t xml:space="preserve"> </w:t>
      </w:r>
      <w:r w:rsidR="00AE50D7" w:rsidRPr="00817A34">
        <w:rPr>
          <w:b/>
          <w:bCs/>
          <w:lang w:eastAsia="zh-CN"/>
        </w:rPr>
        <w:t>et e</w:t>
      </w:r>
      <w:r w:rsidR="003D1AB4">
        <w:rPr>
          <w:b/>
          <w:bCs/>
          <w:lang w:eastAsia="zh-CN"/>
        </w:rPr>
        <w:t xml:space="preserve">xhorte </w:t>
      </w:r>
      <w:r w:rsidR="001077D9" w:rsidRPr="00817A34">
        <w:rPr>
          <w:b/>
          <w:bCs/>
          <w:lang w:eastAsia="zh-CN"/>
        </w:rPr>
        <w:t>l’État partie</w:t>
      </w:r>
      <w:r w:rsidR="00AE50D7" w:rsidRPr="00817A34">
        <w:rPr>
          <w:b/>
          <w:bCs/>
          <w:lang w:eastAsia="zh-CN"/>
        </w:rPr>
        <w:t xml:space="preserve"> à</w:t>
      </w:r>
      <w:r w:rsidR="00BF5D06" w:rsidRPr="00817A34">
        <w:rPr>
          <w:b/>
          <w:bCs/>
          <w:lang w:eastAsia="zh-CN"/>
        </w:rPr>
        <w:t xml:space="preserve"> : </w:t>
      </w:r>
    </w:p>
    <w:p w14:paraId="1CA60F80" w14:textId="77777777" w:rsidR="00A91196" w:rsidRPr="00817A34" w:rsidRDefault="00BF5D06" w:rsidP="00AB261D">
      <w:pPr>
        <w:pStyle w:val="SingleTxtG"/>
        <w:numPr>
          <w:ilvl w:val="0"/>
          <w:numId w:val="21"/>
        </w:numPr>
        <w:tabs>
          <w:tab w:val="left" w:pos="720"/>
        </w:tabs>
        <w:ind w:left="1134" w:firstLine="567"/>
        <w:rPr>
          <w:lang w:val="fr-FR" w:eastAsia="zh-CN"/>
        </w:rPr>
      </w:pPr>
      <w:r w:rsidRPr="00817A34">
        <w:rPr>
          <w:b/>
          <w:bCs/>
          <w:lang w:eastAsia="zh-CN"/>
        </w:rPr>
        <w:t xml:space="preserve">Renforcer les mécanismes et outils méthodologiques mis en place pour analyser l’impact </w:t>
      </w:r>
      <w:r w:rsidR="00A91196" w:rsidRPr="00817A34">
        <w:rPr>
          <w:b/>
          <w:bCs/>
          <w:lang w:eastAsia="zh-CN"/>
        </w:rPr>
        <w:t xml:space="preserve">des opérations financées par les institutions d’aide au développement </w:t>
      </w:r>
      <w:r w:rsidRPr="00817A34">
        <w:rPr>
          <w:b/>
          <w:bCs/>
          <w:lang w:eastAsia="zh-CN"/>
        </w:rPr>
        <w:t>sur les droits prévus par le Pacte</w:t>
      </w:r>
      <w:r w:rsidR="00A91196" w:rsidRPr="00817A34">
        <w:rPr>
          <w:b/>
          <w:bCs/>
          <w:lang w:eastAsia="zh-CN"/>
        </w:rPr>
        <w:t>,</w:t>
      </w:r>
      <w:r w:rsidRPr="00817A34">
        <w:rPr>
          <w:b/>
          <w:bCs/>
          <w:lang w:eastAsia="zh-CN"/>
        </w:rPr>
        <w:t xml:space="preserve"> </w:t>
      </w:r>
      <w:r w:rsidR="007236BE" w:rsidRPr="00817A34">
        <w:rPr>
          <w:b/>
          <w:bCs/>
        </w:rPr>
        <w:t>notamment le droit à des conditions de travail justes et favorables, le droit à l’éducation et le droit à la santé</w:t>
      </w:r>
      <w:r w:rsidR="00A91196" w:rsidRPr="00817A34">
        <w:rPr>
          <w:b/>
          <w:bCs/>
        </w:rPr>
        <w:t xml:space="preserve"> ; </w:t>
      </w:r>
    </w:p>
    <w:p w14:paraId="4E0AE3A8" w14:textId="633FF694" w:rsidR="00614B61" w:rsidRPr="00817A34" w:rsidRDefault="003D1AB4" w:rsidP="00AB261D">
      <w:pPr>
        <w:pStyle w:val="SingleTxtG"/>
        <w:numPr>
          <w:ilvl w:val="0"/>
          <w:numId w:val="21"/>
        </w:numPr>
        <w:tabs>
          <w:tab w:val="left" w:pos="720"/>
        </w:tabs>
        <w:ind w:left="1134" w:firstLine="567"/>
        <w:rPr>
          <w:lang w:val="fr-FR" w:eastAsia="zh-CN"/>
        </w:rPr>
      </w:pPr>
      <w:r>
        <w:rPr>
          <w:b/>
          <w:bCs/>
          <w:lang w:eastAsia="zh-CN"/>
        </w:rPr>
        <w:t xml:space="preserve">Mettre en place un </w:t>
      </w:r>
      <w:r w:rsidR="00614B61" w:rsidRPr="00817A34">
        <w:rPr>
          <w:b/>
          <w:bCs/>
          <w:lang w:eastAsia="zh-CN"/>
        </w:rPr>
        <w:t>mécanisme de surveillance efficace chargé de déterminer régulièrement l’incidence sur les droits de l’homme des politiques et des projets dans les pays destinataires et de prendre</w:t>
      </w:r>
      <w:r w:rsidR="00767534" w:rsidRPr="00817A34">
        <w:rPr>
          <w:b/>
          <w:bCs/>
          <w:lang w:eastAsia="zh-CN"/>
        </w:rPr>
        <w:t>,</w:t>
      </w:r>
      <w:r w:rsidR="00614B61" w:rsidRPr="00817A34">
        <w:rPr>
          <w:b/>
          <w:bCs/>
          <w:lang w:eastAsia="zh-CN"/>
        </w:rPr>
        <w:t xml:space="preserve"> </w:t>
      </w:r>
      <w:r w:rsidR="00767534" w:rsidRPr="00817A34">
        <w:rPr>
          <w:b/>
          <w:bCs/>
          <w:lang w:eastAsia="zh-CN"/>
        </w:rPr>
        <w:t>le cas échéant, </w:t>
      </w:r>
      <w:r w:rsidR="00614B61" w:rsidRPr="00817A34">
        <w:rPr>
          <w:b/>
          <w:bCs/>
          <w:lang w:eastAsia="zh-CN"/>
        </w:rPr>
        <w:t>les mesures correctives nécessaires</w:t>
      </w:r>
      <w:r w:rsidR="00266708">
        <w:rPr>
          <w:b/>
          <w:bCs/>
          <w:lang w:eastAsia="zh-CN"/>
        </w:rPr>
        <w:t xml:space="preserve"> </w:t>
      </w:r>
      <w:r w:rsidR="00614B61" w:rsidRPr="00817A34">
        <w:rPr>
          <w:b/>
          <w:bCs/>
          <w:lang w:eastAsia="zh-CN"/>
        </w:rPr>
        <w:t xml:space="preserve">; </w:t>
      </w:r>
    </w:p>
    <w:p w14:paraId="2E50F7C5" w14:textId="7C869568" w:rsidR="001B7F25" w:rsidRPr="00817A34" w:rsidRDefault="00614B61" w:rsidP="00AB261D">
      <w:pPr>
        <w:pStyle w:val="SingleTxtG"/>
        <w:numPr>
          <w:ilvl w:val="0"/>
          <w:numId w:val="21"/>
        </w:numPr>
        <w:tabs>
          <w:tab w:val="left" w:pos="720"/>
        </w:tabs>
        <w:ind w:left="1134" w:firstLine="567"/>
        <w:rPr>
          <w:lang w:val="fr-FR" w:eastAsia="zh-CN"/>
        </w:rPr>
      </w:pPr>
      <w:r w:rsidRPr="00817A34">
        <w:rPr>
          <w:b/>
          <w:bCs/>
        </w:rPr>
        <w:t xml:space="preserve">Mener des études systématiques et indépendantes sur l’incidence sur les droits de l’homme des projets de coopération pour le développement </w:t>
      </w:r>
      <w:r w:rsidR="00BF5D06" w:rsidRPr="00817A34">
        <w:rPr>
          <w:b/>
          <w:bCs/>
          <w:lang w:eastAsia="zh-CN"/>
        </w:rPr>
        <w:t>y</w:t>
      </w:r>
      <w:r w:rsidRPr="00817A34">
        <w:rPr>
          <w:b/>
          <w:bCs/>
          <w:lang w:eastAsia="zh-CN"/>
        </w:rPr>
        <w:t xml:space="preserve"> compris ceux </w:t>
      </w:r>
      <w:r w:rsidR="001B7F25" w:rsidRPr="00817A34">
        <w:rPr>
          <w:b/>
          <w:bCs/>
          <w:lang w:eastAsia="zh-CN"/>
        </w:rPr>
        <w:t xml:space="preserve">dédiés au secteur privé par la filiale </w:t>
      </w:r>
      <w:proofErr w:type="spellStart"/>
      <w:r w:rsidR="001B7F25" w:rsidRPr="00817A34">
        <w:rPr>
          <w:b/>
          <w:bCs/>
          <w:lang w:eastAsia="zh-CN"/>
        </w:rPr>
        <w:t>Proparco</w:t>
      </w:r>
      <w:proofErr w:type="spellEnd"/>
      <w:r w:rsidR="001B7F25" w:rsidRPr="00817A34">
        <w:rPr>
          <w:b/>
          <w:bCs/>
          <w:lang w:eastAsia="zh-CN"/>
        </w:rPr>
        <w:t xml:space="preserve"> de l’Agence Française au Développement</w:t>
      </w:r>
      <w:r w:rsidRPr="00817A34">
        <w:rPr>
          <w:b/>
          <w:bCs/>
          <w:lang w:eastAsia="zh-CN"/>
        </w:rPr>
        <w:t xml:space="preserve"> ; </w:t>
      </w:r>
    </w:p>
    <w:p w14:paraId="72A9AB1C" w14:textId="7B09B91C" w:rsidR="00DA5B3F" w:rsidRPr="00817A34" w:rsidRDefault="00BF5D06" w:rsidP="00AB261D">
      <w:pPr>
        <w:pStyle w:val="SingleTxtG"/>
        <w:numPr>
          <w:ilvl w:val="0"/>
          <w:numId w:val="21"/>
        </w:numPr>
        <w:tabs>
          <w:tab w:val="left" w:pos="720"/>
        </w:tabs>
        <w:ind w:left="1134" w:firstLine="567"/>
        <w:rPr>
          <w:lang w:val="fr-FR" w:eastAsia="zh-CN"/>
        </w:rPr>
      </w:pPr>
      <w:r w:rsidRPr="00817A34">
        <w:rPr>
          <w:b/>
          <w:bCs/>
          <w:lang w:eastAsia="zh-CN"/>
        </w:rPr>
        <w:t>Intensifier</w:t>
      </w:r>
      <w:r w:rsidR="001077D9" w:rsidRPr="00817A34">
        <w:rPr>
          <w:b/>
          <w:bCs/>
          <w:lang w:eastAsia="zh-CN"/>
        </w:rPr>
        <w:t xml:space="preserve"> ses efforts pour porter le montant de son aide au développement à 0,7 % de son PNB, conformément à l’objectif convenu au niveau international. </w:t>
      </w:r>
    </w:p>
    <w:p w14:paraId="23F64D32" w14:textId="39199E2F" w:rsidR="0041331B" w:rsidRPr="00817A34" w:rsidRDefault="0041331B" w:rsidP="00AB261D">
      <w:pPr>
        <w:pStyle w:val="H23G"/>
        <w:tabs>
          <w:tab w:val="clear" w:pos="720"/>
          <w:tab w:val="clear" w:pos="851"/>
        </w:tabs>
        <w:ind w:left="1134"/>
      </w:pPr>
      <w:r w:rsidRPr="00817A34">
        <w:rPr>
          <w:bCs/>
        </w:rPr>
        <w:t>Accès aux vaccins et aux médicaments contre la COVID</w:t>
      </w:r>
      <w:r w:rsidR="00BF5362">
        <w:rPr>
          <w:bCs/>
        </w:rPr>
        <w:t>-19</w:t>
      </w:r>
    </w:p>
    <w:p w14:paraId="562F508C" w14:textId="016BD30D" w:rsidR="008506F8" w:rsidRPr="00817A34" w:rsidRDefault="00767534" w:rsidP="008506F8">
      <w:pPr>
        <w:pStyle w:val="SingleTxtG"/>
        <w:rPr>
          <w:lang w:val="fr-FR" w:eastAsia="zh-CN"/>
        </w:rPr>
      </w:pPr>
      <w:r w:rsidRPr="00817A34">
        <w:rPr>
          <w:lang w:val="fr-FR" w:eastAsia="zh-CN"/>
        </w:rPr>
        <w:t>12.</w:t>
      </w:r>
      <w:r w:rsidRPr="00817A34">
        <w:rPr>
          <w:lang w:val="fr-FR" w:eastAsia="zh-CN"/>
        </w:rPr>
        <w:tab/>
      </w:r>
      <w:r w:rsidR="00301B1A" w:rsidRPr="00817A34">
        <w:rPr>
          <w:lang w:val="fr-FR" w:eastAsia="zh-CN"/>
        </w:rPr>
        <w:t xml:space="preserve">Le Comité </w:t>
      </w:r>
      <w:r w:rsidR="008506F8" w:rsidRPr="00817A34">
        <w:rPr>
          <w:lang w:val="fr-FR" w:eastAsia="zh-CN"/>
        </w:rPr>
        <w:t xml:space="preserve">est préoccupé </w:t>
      </w:r>
      <w:r w:rsidRPr="00817A34">
        <w:rPr>
          <w:lang w:val="fr-FR" w:eastAsia="zh-CN"/>
        </w:rPr>
        <w:t xml:space="preserve">par le fait </w:t>
      </w:r>
      <w:r w:rsidR="008506F8" w:rsidRPr="00817A34">
        <w:rPr>
          <w:lang w:val="fr-FR" w:eastAsia="zh-CN"/>
        </w:rPr>
        <w:t>que l’</w:t>
      </w:r>
      <w:r w:rsidR="006938F7" w:rsidRPr="00817A34">
        <w:rPr>
          <w:lang w:val="fr-FR" w:eastAsia="zh-CN"/>
        </w:rPr>
        <w:t>État</w:t>
      </w:r>
      <w:r w:rsidR="008506F8" w:rsidRPr="00817A34">
        <w:rPr>
          <w:lang w:val="fr-FR" w:eastAsia="zh-CN"/>
        </w:rPr>
        <w:t xml:space="preserve"> partie</w:t>
      </w:r>
      <w:r w:rsidRPr="00817A34">
        <w:rPr>
          <w:lang w:val="fr-FR" w:eastAsia="zh-CN"/>
        </w:rPr>
        <w:t>, en tant que membre de l’Union européenne,</w:t>
      </w:r>
      <w:r w:rsidR="008506F8" w:rsidRPr="00817A34">
        <w:rPr>
          <w:lang w:val="fr-FR" w:eastAsia="zh-CN"/>
        </w:rPr>
        <w:t xml:space="preserve"> ne soutient pas </w:t>
      </w:r>
      <w:r w:rsidRPr="00817A34">
        <w:rPr>
          <w:lang w:val="fr-FR" w:eastAsia="zh-CN"/>
        </w:rPr>
        <w:t xml:space="preserve">d’avantage </w:t>
      </w:r>
      <w:r w:rsidR="008506F8" w:rsidRPr="00817A34">
        <w:rPr>
          <w:lang w:val="fr-FR" w:eastAsia="zh-CN"/>
        </w:rPr>
        <w:t xml:space="preserve">une dérogation temporaire complète à la mise en œuvre par l’Accord sur les Droits de </w:t>
      </w:r>
      <w:r w:rsidR="00F96814">
        <w:rPr>
          <w:lang w:val="fr-FR" w:eastAsia="zh-CN"/>
        </w:rPr>
        <w:t xml:space="preserve">la </w:t>
      </w:r>
      <w:r w:rsidR="008506F8" w:rsidRPr="00817A34">
        <w:rPr>
          <w:lang w:val="fr-FR" w:eastAsia="zh-CN"/>
        </w:rPr>
        <w:t xml:space="preserve">propriété intellectuelle qui touchent au commerce sur les vaccins, </w:t>
      </w:r>
      <w:r w:rsidR="00266708">
        <w:rPr>
          <w:lang w:val="fr-FR" w:eastAsia="zh-CN"/>
        </w:rPr>
        <w:t xml:space="preserve">les </w:t>
      </w:r>
      <w:r w:rsidR="008506F8" w:rsidRPr="00817A34">
        <w:rPr>
          <w:lang w:val="fr-FR" w:eastAsia="zh-CN"/>
        </w:rPr>
        <w:t xml:space="preserve">diagnostics, </w:t>
      </w:r>
      <w:r w:rsidR="00266708">
        <w:rPr>
          <w:lang w:val="fr-FR" w:eastAsia="zh-CN"/>
        </w:rPr>
        <w:t xml:space="preserve">les </w:t>
      </w:r>
      <w:r w:rsidR="008506F8" w:rsidRPr="00817A34">
        <w:rPr>
          <w:lang w:val="fr-FR" w:eastAsia="zh-CN"/>
        </w:rPr>
        <w:t>traitements et autres produits médicaux nécessaires relatifs à la COVID-19 (art</w:t>
      </w:r>
      <w:r w:rsidR="002707C1" w:rsidRPr="00817A34">
        <w:rPr>
          <w:lang w:val="fr-FR" w:eastAsia="zh-CN"/>
        </w:rPr>
        <w:t>s</w:t>
      </w:r>
      <w:r w:rsidR="008506F8" w:rsidRPr="00817A34">
        <w:rPr>
          <w:lang w:val="fr-FR" w:eastAsia="zh-CN"/>
        </w:rPr>
        <w:t>. 2.1</w:t>
      </w:r>
      <w:r w:rsidR="002707C1" w:rsidRPr="00817A34">
        <w:rPr>
          <w:lang w:val="fr-FR" w:eastAsia="zh-CN"/>
        </w:rPr>
        <w:t xml:space="preserve"> et 15</w:t>
      </w:r>
      <w:r w:rsidR="008506F8" w:rsidRPr="00817A34">
        <w:rPr>
          <w:lang w:val="fr-FR" w:eastAsia="zh-CN"/>
        </w:rPr>
        <w:t>).</w:t>
      </w:r>
    </w:p>
    <w:p w14:paraId="6FB2A1CF" w14:textId="4B87D638" w:rsidR="0041331B" w:rsidRPr="00817A34" w:rsidRDefault="00767534" w:rsidP="00817A34">
      <w:pPr>
        <w:pStyle w:val="SingleTxtG"/>
        <w:rPr>
          <w:b/>
          <w:bCs/>
          <w:lang w:val="fr-FR" w:eastAsia="zh-CN"/>
        </w:rPr>
      </w:pPr>
      <w:r w:rsidRPr="00AB261D">
        <w:rPr>
          <w:lang w:val="fr-FR" w:eastAsia="zh-CN"/>
        </w:rPr>
        <w:t>13.</w:t>
      </w:r>
      <w:r w:rsidRPr="00817A34">
        <w:rPr>
          <w:b/>
          <w:bCs/>
          <w:lang w:val="fr-FR" w:eastAsia="zh-CN"/>
        </w:rPr>
        <w:tab/>
        <w:t>Le</w:t>
      </w:r>
      <w:r w:rsidR="005C77E0" w:rsidRPr="00817A34">
        <w:rPr>
          <w:b/>
          <w:bCs/>
          <w:lang w:val="fr-FR" w:eastAsia="zh-CN"/>
        </w:rPr>
        <w:t xml:space="preserve"> Comité recommande à l’</w:t>
      </w:r>
      <w:r w:rsidR="006938F7" w:rsidRPr="00817A34">
        <w:rPr>
          <w:b/>
          <w:bCs/>
          <w:lang w:val="fr-FR" w:eastAsia="zh-CN"/>
        </w:rPr>
        <w:t>État</w:t>
      </w:r>
      <w:r w:rsidR="005C77E0" w:rsidRPr="00817A34">
        <w:rPr>
          <w:b/>
          <w:bCs/>
          <w:lang w:val="fr-FR" w:eastAsia="zh-CN"/>
        </w:rPr>
        <w:t xml:space="preserve"> partie</w:t>
      </w:r>
      <w:r w:rsidR="003D1AB4">
        <w:rPr>
          <w:b/>
          <w:bCs/>
          <w:lang w:val="fr-FR" w:eastAsia="zh-CN"/>
        </w:rPr>
        <w:t xml:space="preserve"> de</w:t>
      </w:r>
      <w:r w:rsidR="005C77E0" w:rsidRPr="00817A34">
        <w:rPr>
          <w:b/>
          <w:bCs/>
          <w:lang w:val="fr-FR" w:eastAsia="zh-CN"/>
        </w:rPr>
        <w:t xml:space="preserve"> veille</w:t>
      </w:r>
      <w:r w:rsidR="003D1AB4">
        <w:rPr>
          <w:b/>
          <w:bCs/>
          <w:lang w:val="fr-FR" w:eastAsia="zh-CN"/>
        </w:rPr>
        <w:t>r</w:t>
      </w:r>
      <w:r w:rsidR="005C77E0" w:rsidRPr="00817A34">
        <w:rPr>
          <w:b/>
          <w:bCs/>
          <w:lang w:val="fr-FR" w:eastAsia="zh-CN"/>
        </w:rPr>
        <w:t xml:space="preserve"> </w:t>
      </w:r>
      <w:r w:rsidR="006F77EA" w:rsidRPr="00817A34">
        <w:rPr>
          <w:b/>
          <w:bCs/>
          <w:lang w:val="fr-FR" w:eastAsia="zh-CN"/>
        </w:rPr>
        <w:t xml:space="preserve">à ce que les accords commerciaux respectent les obligations au titre du Pacte, s’agissant de la jouissance des droits économiques, sociaux et culturels dans les pays tiers. </w:t>
      </w:r>
      <w:r w:rsidR="006938F7" w:rsidRPr="00817A34">
        <w:rPr>
          <w:b/>
          <w:bCs/>
          <w:lang w:val="fr-FR" w:eastAsia="zh-CN"/>
        </w:rPr>
        <w:t>À</w:t>
      </w:r>
      <w:r w:rsidR="006F77EA" w:rsidRPr="00817A34">
        <w:rPr>
          <w:b/>
          <w:bCs/>
          <w:lang w:val="fr-FR" w:eastAsia="zh-CN"/>
        </w:rPr>
        <w:t xml:space="preserve"> cet égard, le Comité recommande </w:t>
      </w:r>
      <w:r w:rsidR="00F96814">
        <w:rPr>
          <w:b/>
          <w:bCs/>
          <w:lang w:val="fr-FR" w:eastAsia="zh-CN"/>
        </w:rPr>
        <w:t xml:space="preserve">à </w:t>
      </w:r>
      <w:r w:rsidR="006F77EA" w:rsidRPr="00817A34">
        <w:rPr>
          <w:b/>
          <w:bCs/>
          <w:lang w:val="fr-FR" w:eastAsia="zh-CN"/>
        </w:rPr>
        <w:t>l’</w:t>
      </w:r>
      <w:r w:rsidR="006938F7" w:rsidRPr="00817A34">
        <w:rPr>
          <w:b/>
          <w:bCs/>
          <w:lang w:val="fr-FR" w:eastAsia="zh-CN"/>
        </w:rPr>
        <w:t>État</w:t>
      </w:r>
      <w:r w:rsidR="006F77EA" w:rsidRPr="00817A34">
        <w:rPr>
          <w:b/>
          <w:bCs/>
          <w:lang w:val="fr-FR" w:eastAsia="zh-CN"/>
        </w:rPr>
        <w:t xml:space="preserve"> partie</w:t>
      </w:r>
      <w:r w:rsidR="00F96814">
        <w:rPr>
          <w:b/>
          <w:bCs/>
          <w:lang w:val="fr-FR" w:eastAsia="zh-CN"/>
        </w:rPr>
        <w:t xml:space="preserve"> en</w:t>
      </w:r>
      <w:r w:rsidR="005C77E0" w:rsidRPr="00817A34">
        <w:rPr>
          <w:b/>
          <w:bCs/>
          <w:lang w:val="fr-FR" w:eastAsia="zh-CN"/>
        </w:rPr>
        <w:t xml:space="preserve"> </w:t>
      </w:r>
      <w:r w:rsidR="002707C1" w:rsidRPr="00817A34">
        <w:rPr>
          <w:b/>
          <w:bCs/>
          <w:lang w:val="fr-FR" w:eastAsia="zh-CN"/>
        </w:rPr>
        <w:t xml:space="preserve">tant que membre de l’Union européenne </w:t>
      </w:r>
      <w:r w:rsidR="005C77E0" w:rsidRPr="00817A34">
        <w:rPr>
          <w:b/>
          <w:bCs/>
          <w:lang w:val="fr-FR" w:eastAsia="zh-CN"/>
        </w:rPr>
        <w:t>de soutenir de manière ferme la dérogation temporaire complète à la mise en œuvre par l’Accord sur les Droits de</w:t>
      </w:r>
      <w:r w:rsidR="00F96814">
        <w:rPr>
          <w:b/>
          <w:bCs/>
          <w:lang w:val="fr-FR" w:eastAsia="zh-CN"/>
        </w:rPr>
        <w:t xml:space="preserve"> la</w:t>
      </w:r>
      <w:r w:rsidR="005C77E0" w:rsidRPr="00817A34">
        <w:rPr>
          <w:b/>
          <w:bCs/>
          <w:lang w:val="fr-FR" w:eastAsia="zh-CN"/>
        </w:rPr>
        <w:t xml:space="preserve"> propriété intellectuelle qui touchent au commerce sur les vaccins, </w:t>
      </w:r>
      <w:r w:rsidR="00266708">
        <w:rPr>
          <w:b/>
          <w:bCs/>
          <w:lang w:val="fr-FR" w:eastAsia="zh-CN"/>
        </w:rPr>
        <w:t xml:space="preserve">les </w:t>
      </w:r>
      <w:r w:rsidR="005C77E0" w:rsidRPr="00817A34">
        <w:rPr>
          <w:b/>
          <w:bCs/>
          <w:lang w:val="fr-FR" w:eastAsia="zh-CN"/>
        </w:rPr>
        <w:t xml:space="preserve">diagnostics, </w:t>
      </w:r>
      <w:r w:rsidR="00266708">
        <w:rPr>
          <w:b/>
          <w:bCs/>
          <w:lang w:val="fr-FR" w:eastAsia="zh-CN"/>
        </w:rPr>
        <w:t xml:space="preserve">les </w:t>
      </w:r>
      <w:r w:rsidR="005C77E0" w:rsidRPr="00817A34">
        <w:rPr>
          <w:b/>
          <w:bCs/>
          <w:lang w:val="fr-FR" w:eastAsia="zh-CN"/>
        </w:rPr>
        <w:t>traitements et autres produits médicaux nécessaires relatifs à la COVID-19.</w:t>
      </w:r>
      <w:r w:rsidR="00817A34">
        <w:rPr>
          <w:b/>
          <w:bCs/>
          <w:lang w:val="fr-FR" w:eastAsia="zh-CN"/>
        </w:rPr>
        <w:t xml:space="preserve"> </w:t>
      </w:r>
      <w:r w:rsidR="00817A34">
        <w:rPr>
          <w:b/>
          <w:bCs/>
        </w:rPr>
        <w:t>Le Comité recommande à l’</w:t>
      </w:r>
      <w:r w:rsidR="006938F7">
        <w:rPr>
          <w:b/>
          <w:bCs/>
        </w:rPr>
        <w:t>État</w:t>
      </w:r>
      <w:r w:rsidR="00817A34">
        <w:rPr>
          <w:b/>
          <w:bCs/>
        </w:rPr>
        <w:t xml:space="preserve"> parie d</w:t>
      </w:r>
      <w:r w:rsidR="0041331B" w:rsidRPr="00817A34">
        <w:rPr>
          <w:b/>
          <w:bCs/>
        </w:rPr>
        <w:t xml:space="preserve">e bien prendre note du paragraphe 82 de son observation générale no 25 (2020) sur la science et les droits économiques, sociaux et culturels, ainsi que de ses déclarations portant respectivement sur la pandémie de COVID 19 et les droits économiques, sociaux et culturels </w:t>
      </w:r>
      <w:r w:rsidR="00B51CD8">
        <w:rPr>
          <w:b/>
          <w:bCs/>
        </w:rPr>
        <w:t xml:space="preserve">(2020) </w:t>
      </w:r>
      <w:r w:rsidR="0041331B" w:rsidRPr="00817A34">
        <w:rPr>
          <w:b/>
          <w:bCs/>
        </w:rPr>
        <w:t>et sur l’accès universel et équitable aux vaccins contre la COVID 19</w:t>
      </w:r>
      <w:r w:rsidR="00B51CD8">
        <w:rPr>
          <w:b/>
          <w:bCs/>
        </w:rPr>
        <w:t xml:space="preserve"> (2020)</w:t>
      </w:r>
      <w:r w:rsidR="0041331B" w:rsidRPr="00817A34">
        <w:t>.</w:t>
      </w:r>
    </w:p>
    <w:p w14:paraId="66756C2A" w14:textId="60A611F6" w:rsidR="00DD6376" w:rsidRPr="00817A34" w:rsidRDefault="00EB32E9" w:rsidP="00AB261D">
      <w:pPr>
        <w:pStyle w:val="H23G"/>
        <w:tabs>
          <w:tab w:val="clear" w:pos="720"/>
          <w:tab w:val="clear" w:pos="851"/>
        </w:tabs>
        <w:ind w:left="1134"/>
      </w:pPr>
      <w:r w:rsidRPr="00817A34">
        <w:rPr>
          <w:bCs/>
        </w:rPr>
        <w:lastRenderedPageBreak/>
        <w:t xml:space="preserve">Disparités régionales </w:t>
      </w:r>
    </w:p>
    <w:p w14:paraId="7878AC19" w14:textId="09F72839" w:rsidR="00DD6376" w:rsidRPr="00817A34" w:rsidRDefault="00767534" w:rsidP="00EB32E9">
      <w:pPr>
        <w:pStyle w:val="SingleTxtG"/>
        <w:rPr>
          <w:b/>
          <w:bCs/>
          <w:lang w:eastAsia="zh-CN"/>
        </w:rPr>
      </w:pPr>
      <w:r w:rsidRPr="00817A34">
        <w:rPr>
          <w:lang w:val="fr-FR" w:eastAsia="zh-CN"/>
        </w:rPr>
        <w:t>14.</w:t>
      </w:r>
      <w:r w:rsidRPr="00817A34">
        <w:rPr>
          <w:lang w:val="fr-FR" w:eastAsia="zh-CN"/>
        </w:rPr>
        <w:tab/>
      </w:r>
      <w:r w:rsidR="00EB32E9" w:rsidRPr="00817A34">
        <w:rPr>
          <w:lang w:val="fr-FR" w:eastAsia="zh-CN"/>
        </w:rPr>
        <w:t>Le Comité constate avec préoccupation qu’il existe des disparités régionales persistantes dans la jouissance des droits économiques</w:t>
      </w:r>
      <w:r w:rsidRPr="00817A34">
        <w:rPr>
          <w:lang w:val="fr-FR" w:eastAsia="zh-CN"/>
        </w:rPr>
        <w:t>,</w:t>
      </w:r>
      <w:r w:rsidR="00EB32E9" w:rsidRPr="00817A34">
        <w:rPr>
          <w:lang w:val="fr-FR" w:eastAsia="zh-CN"/>
        </w:rPr>
        <w:t xml:space="preserve"> sociaux et culturels, tant à l’intérieur de la France métropolitaine</w:t>
      </w:r>
      <w:r w:rsidR="00D13002" w:rsidRPr="00817A34">
        <w:rPr>
          <w:lang w:val="fr-FR" w:eastAsia="zh-CN"/>
        </w:rPr>
        <w:t xml:space="preserve"> notamment dans les zones rurales</w:t>
      </w:r>
      <w:r w:rsidR="007B210B">
        <w:rPr>
          <w:lang w:val="fr-FR" w:eastAsia="zh-CN"/>
        </w:rPr>
        <w:t>, ainsi que dans</w:t>
      </w:r>
      <w:r w:rsidR="009C1666">
        <w:rPr>
          <w:lang w:val="fr-FR" w:eastAsia="zh-CN"/>
        </w:rPr>
        <w:t xml:space="preserve"> </w:t>
      </w:r>
      <w:r w:rsidR="00D13002" w:rsidRPr="00817A34">
        <w:rPr>
          <w:lang w:val="fr-FR" w:eastAsia="zh-CN"/>
        </w:rPr>
        <w:t>certaines banlieues</w:t>
      </w:r>
      <w:r w:rsidR="00817A34">
        <w:rPr>
          <w:lang w:val="fr-FR" w:eastAsia="zh-CN"/>
        </w:rPr>
        <w:t xml:space="preserve"> et dans les territoires d’outre-mer</w:t>
      </w:r>
      <w:r w:rsidR="00DD6376" w:rsidRPr="00817A34">
        <w:rPr>
          <w:lang w:val="fr-FR" w:eastAsia="zh-CN"/>
        </w:rPr>
        <w:t xml:space="preserve"> (</w:t>
      </w:r>
      <w:r w:rsidR="00817A34">
        <w:rPr>
          <w:lang w:val="fr-FR" w:eastAsia="zh-CN"/>
        </w:rPr>
        <w:t xml:space="preserve">art. </w:t>
      </w:r>
      <w:r w:rsidR="00DD6376" w:rsidRPr="00817A34">
        <w:rPr>
          <w:lang w:val="fr-FR" w:eastAsia="zh-CN"/>
        </w:rPr>
        <w:t>2.2)</w:t>
      </w:r>
      <w:r w:rsidR="00EB32E9" w:rsidRPr="00817A34">
        <w:rPr>
          <w:lang w:val="fr-FR" w:eastAsia="zh-CN"/>
        </w:rPr>
        <w:t>.</w:t>
      </w:r>
      <w:r w:rsidR="00EB32E9" w:rsidRPr="00817A34">
        <w:rPr>
          <w:b/>
          <w:bCs/>
          <w:lang w:eastAsia="zh-CN"/>
        </w:rPr>
        <w:t> </w:t>
      </w:r>
    </w:p>
    <w:p w14:paraId="53D2EE4A" w14:textId="3E9C90D3" w:rsidR="00DD6376" w:rsidRPr="00817A34" w:rsidRDefault="00DD6376" w:rsidP="00BB193E">
      <w:pPr>
        <w:pStyle w:val="SingleTxtG"/>
        <w:rPr>
          <w:b/>
          <w:bCs/>
          <w:lang w:eastAsia="zh-CN"/>
        </w:rPr>
      </w:pPr>
      <w:r w:rsidRPr="00AB261D">
        <w:rPr>
          <w:lang w:eastAsia="zh-CN"/>
        </w:rPr>
        <w:t>15.</w:t>
      </w:r>
      <w:r w:rsidRPr="00817A34">
        <w:rPr>
          <w:b/>
          <w:bCs/>
          <w:lang w:eastAsia="zh-CN"/>
        </w:rPr>
        <w:tab/>
        <w:t>Le Comité recommande à l’</w:t>
      </w:r>
      <w:r w:rsidR="00BF5362">
        <w:rPr>
          <w:b/>
          <w:bCs/>
          <w:lang w:eastAsia="zh-CN"/>
        </w:rPr>
        <w:t>É</w:t>
      </w:r>
      <w:r w:rsidRPr="00817A34">
        <w:rPr>
          <w:b/>
          <w:bCs/>
          <w:lang w:eastAsia="zh-CN"/>
        </w:rPr>
        <w:t>tat partie </w:t>
      </w:r>
      <w:r w:rsidR="005F558B" w:rsidRPr="00817A34">
        <w:rPr>
          <w:b/>
          <w:lang w:val="fr-FR"/>
        </w:rPr>
        <w:t>d’intensifier ses efforts en vue de combler les écarts, pour ce qui est de l’exercice des droits économiques, sociaux et culturels, entre certaines régions, notamment dans les zones rurales</w:t>
      </w:r>
      <w:r w:rsidR="007B210B" w:rsidRPr="007B210B">
        <w:rPr>
          <w:b/>
          <w:lang w:val="fr-FR"/>
        </w:rPr>
        <w:t xml:space="preserve"> </w:t>
      </w:r>
      <w:r w:rsidR="007B210B" w:rsidRPr="00817A34">
        <w:rPr>
          <w:b/>
          <w:lang w:val="fr-FR"/>
        </w:rPr>
        <w:t>dans la France métropolitaine</w:t>
      </w:r>
      <w:r w:rsidR="007B210B">
        <w:rPr>
          <w:b/>
          <w:lang w:val="fr-FR"/>
        </w:rPr>
        <w:t xml:space="preserve">. </w:t>
      </w:r>
      <w:r w:rsidR="005248AD">
        <w:rPr>
          <w:b/>
          <w:lang w:val="fr-FR"/>
        </w:rPr>
        <w:t>À</w:t>
      </w:r>
      <w:r w:rsidR="00514B0C">
        <w:rPr>
          <w:b/>
          <w:lang w:val="fr-FR"/>
        </w:rPr>
        <w:t xml:space="preserve"> cet égard, l</w:t>
      </w:r>
      <w:r w:rsidR="007B210B">
        <w:rPr>
          <w:b/>
          <w:lang w:val="fr-FR"/>
        </w:rPr>
        <w:t>e Comité recommande à l’</w:t>
      </w:r>
      <w:r w:rsidR="00BF5362">
        <w:rPr>
          <w:b/>
          <w:lang w:val="fr-FR"/>
        </w:rPr>
        <w:t>É</w:t>
      </w:r>
      <w:r w:rsidR="007B210B">
        <w:rPr>
          <w:b/>
          <w:lang w:val="fr-FR"/>
        </w:rPr>
        <w:t xml:space="preserve">tat partie de tenir compte des </w:t>
      </w:r>
      <w:r w:rsidR="00514B0C">
        <w:rPr>
          <w:b/>
          <w:lang w:val="fr-FR"/>
        </w:rPr>
        <w:t>différences</w:t>
      </w:r>
      <w:r w:rsidR="007B210B">
        <w:rPr>
          <w:b/>
          <w:lang w:val="fr-FR"/>
        </w:rPr>
        <w:t xml:space="preserve"> et </w:t>
      </w:r>
      <w:r w:rsidR="00514B0C">
        <w:rPr>
          <w:b/>
          <w:lang w:val="fr-FR"/>
        </w:rPr>
        <w:t>de</w:t>
      </w:r>
      <w:r w:rsidR="007B210B">
        <w:rPr>
          <w:b/>
          <w:lang w:val="fr-FR"/>
        </w:rPr>
        <w:t>s</w:t>
      </w:r>
      <w:r w:rsidR="00514B0C">
        <w:rPr>
          <w:b/>
          <w:lang w:val="fr-FR"/>
        </w:rPr>
        <w:t xml:space="preserve"> écarts dans</w:t>
      </w:r>
      <w:r w:rsidR="005F558B" w:rsidRPr="00817A34">
        <w:rPr>
          <w:b/>
          <w:lang w:val="fr-FR"/>
        </w:rPr>
        <w:t xml:space="preserve"> certaines banlieues. Le Comité prie l’</w:t>
      </w:r>
      <w:r w:rsidR="00BF5362">
        <w:rPr>
          <w:b/>
          <w:lang w:val="fr-FR"/>
        </w:rPr>
        <w:t>É</w:t>
      </w:r>
      <w:r w:rsidR="005F558B" w:rsidRPr="00817A34">
        <w:rPr>
          <w:b/>
          <w:lang w:val="fr-FR"/>
        </w:rPr>
        <w:t xml:space="preserve">tat partie de </w:t>
      </w:r>
      <w:r w:rsidRPr="00817A34">
        <w:rPr>
          <w:b/>
          <w:bCs/>
        </w:rPr>
        <w:t xml:space="preserve">prendre toutes les mesures </w:t>
      </w:r>
      <w:r w:rsidR="003D1AB4">
        <w:rPr>
          <w:b/>
          <w:bCs/>
        </w:rPr>
        <w:t xml:space="preserve">pertinentes </w:t>
      </w:r>
      <w:r w:rsidRPr="00817A34">
        <w:rPr>
          <w:b/>
          <w:bCs/>
        </w:rPr>
        <w:t>pour garantir le plein exercice des droits économiques, sociaux et culturels par toutes les personnes relevant de sa juridiction</w:t>
      </w:r>
      <w:r w:rsidR="005F558B" w:rsidRPr="00817A34">
        <w:rPr>
          <w:b/>
          <w:bCs/>
        </w:rPr>
        <w:t>.</w:t>
      </w:r>
    </w:p>
    <w:p w14:paraId="1FD1FD89" w14:textId="1931D396" w:rsidR="00817A34" w:rsidRPr="00A331F6" w:rsidRDefault="00817A34" w:rsidP="00AB261D">
      <w:pPr>
        <w:pStyle w:val="H23G"/>
        <w:tabs>
          <w:tab w:val="clear" w:pos="720"/>
          <w:tab w:val="clear" w:pos="851"/>
        </w:tabs>
        <w:ind w:left="1134"/>
        <w:rPr>
          <w:b w:val="0"/>
          <w:bCs/>
        </w:rPr>
      </w:pPr>
      <w:r w:rsidRPr="00AB261D">
        <w:t>Territoires</w:t>
      </w:r>
      <w:r>
        <w:rPr>
          <w:bCs/>
        </w:rPr>
        <w:t xml:space="preserve"> d’outre-mer</w:t>
      </w:r>
    </w:p>
    <w:p w14:paraId="0D1EFE00" w14:textId="7A08E7BB" w:rsidR="00EB32E9" w:rsidRPr="00817A34" w:rsidRDefault="00DD6376" w:rsidP="00EB32E9">
      <w:pPr>
        <w:pStyle w:val="SingleTxtG"/>
        <w:rPr>
          <w:lang w:eastAsia="zh-CN"/>
        </w:rPr>
      </w:pPr>
      <w:r w:rsidRPr="00817A34">
        <w:rPr>
          <w:lang w:eastAsia="zh-CN"/>
        </w:rPr>
        <w:t>16.</w:t>
      </w:r>
      <w:r w:rsidRPr="00817A34">
        <w:rPr>
          <w:lang w:eastAsia="zh-CN"/>
        </w:rPr>
        <w:tab/>
      </w:r>
      <w:r w:rsidR="00E82B4F" w:rsidRPr="00817A34">
        <w:rPr>
          <w:lang w:eastAsia="zh-CN"/>
        </w:rPr>
        <w:t xml:space="preserve">Le Comité est préoccupé par l’absence des moyens et des politiques publiques adéquates </w:t>
      </w:r>
      <w:r w:rsidR="00767534" w:rsidRPr="00817A34">
        <w:rPr>
          <w:lang w:eastAsia="zh-CN"/>
        </w:rPr>
        <w:t>pour garantir la pleine jouissance de</w:t>
      </w:r>
      <w:r w:rsidR="003D1AB4">
        <w:rPr>
          <w:lang w:eastAsia="zh-CN"/>
        </w:rPr>
        <w:t>s</w:t>
      </w:r>
      <w:r w:rsidR="00767534" w:rsidRPr="00817A34">
        <w:rPr>
          <w:lang w:eastAsia="zh-CN"/>
        </w:rPr>
        <w:t xml:space="preserve"> droits économiques, sociaux et culturels </w:t>
      </w:r>
      <w:r w:rsidR="00E82B4F" w:rsidRPr="00817A34">
        <w:rPr>
          <w:lang w:eastAsia="zh-CN"/>
        </w:rPr>
        <w:t>dans les territoires d’outre-mer</w:t>
      </w:r>
      <w:r w:rsidR="003A4CC9" w:rsidRPr="00817A34">
        <w:rPr>
          <w:lang w:eastAsia="zh-CN"/>
        </w:rPr>
        <w:t xml:space="preserve"> (art. 2</w:t>
      </w:r>
      <w:r w:rsidR="00767534" w:rsidRPr="00817A34">
        <w:rPr>
          <w:lang w:eastAsia="zh-CN"/>
        </w:rPr>
        <w:t>.2</w:t>
      </w:r>
      <w:r w:rsidR="003A4CC9" w:rsidRPr="00817A34">
        <w:rPr>
          <w:lang w:eastAsia="zh-CN"/>
        </w:rPr>
        <w:t>)</w:t>
      </w:r>
      <w:r w:rsidR="00E82B4F" w:rsidRPr="00817A34">
        <w:rPr>
          <w:lang w:eastAsia="zh-CN"/>
        </w:rPr>
        <w:t xml:space="preserve">. </w:t>
      </w:r>
    </w:p>
    <w:p w14:paraId="6F604428" w14:textId="0C03043C" w:rsidR="00E82B4F" w:rsidRPr="00817A34" w:rsidRDefault="00767534" w:rsidP="00A331F6">
      <w:pPr>
        <w:pStyle w:val="SingleTxtG"/>
        <w:rPr>
          <w:b/>
          <w:bCs/>
          <w:lang w:eastAsia="zh-CN"/>
        </w:rPr>
      </w:pPr>
      <w:r w:rsidRPr="00AB261D">
        <w:rPr>
          <w:lang w:eastAsia="zh-CN"/>
        </w:rPr>
        <w:t>1</w:t>
      </w:r>
      <w:r w:rsidR="00DD6376" w:rsidRPr="00AB261D">
        <w:rPr>
          <w:lang w:eastAsia="zh-CN"/>
        </w:rPr>
        <w:t>7</w:t>
      </w:r>
      <w:r w:rsidRPr="00AB261D">
        <w:rPr>
          <w:lang w:eastAsia="zh-CN"/>
        </w:rPr>
        <w:t>.</w:t>
      </w:r>
      <w:r w:rsidRPr="00817A34">
        <w:rPr>
          <w:b/>
          <w:bCs/>
          <w:lang w:eastAsia="zh-CN"/>
        </w:rPr>
        <w:tab/>
      </w:r>
      <w:r w:rsidR="00E82B4F" w:rsidRPr="00817A34">
        <w:rPr>
          <w:b/>
          <w:bCs/>
          <w:lang w:eastAsia="zh-CN"/>
        </w:rPr>
        <w:t>Le Comité recommande à l’</w:t>
      </w:r>
      <w:r w:rsidR="00797691">
        <w:rPr>
          <w:b/>
          <w:bCs/>
          <w:lang w:eastAsia="zh-CN"/>
        </w:rPr>
        <w:t>É</w:t>
      </w:r>
      <w:r w:rsidR="00E82B4F" w:rsidRPr="00817A34">
        <w:rPr>
          <w:b/>
          <w:bCs/>
          <w:lang w:eastAsia="zh-CN"/>
        </w:rPr>
        <w:t>tat partie</w:t>
      </w:r>
      <w:r w:rsidR="003A4CC9" w:rsidRPr="00817A34">
        <w:rPr>
          <w:b/>
          <w:bCs/>
          <w:lang w:eastAsia="zh-CN"/>
        </w:rPr>
        <w:t> </w:t>
      </w:r>
      <w:r w:rsidR="00DD6376" w:rsidRPr="00817A34">
        <w:rPr>
          <w:b/>
          <w:bCs/>
          <w:lang w:eastAsia="zh-CN"/>
        </w:rPr>
        <w:t>de</w:t>
      </w:r>
      <w:r w:rsidR="003A4CC9" w:rsidRPr="00817A34">
        <w:rPr>
          <w:b/>
          <w:bCs/>
          <w:lang w:eastAsia="zh-CN"/>
        </w:rPr>
        <w:t xml:space="preserve"> </w:t>
      </w:r>
      <w:r w:rsidR="00A61167">
        <w:rPr>
          <w:b/>
          <w:bCs/>
          <w:lang w:eastAsia="zh-CN"/>
        </w:rPr>
        <w:t>fournir</w:t>
      </w:r>
      <w:r w:rsidR="00A61167" w:rsidRPr="00817A34">
        <w:rPr>
          <w:b/>
          <w:bCs/>
          <w:lang w:eastAsia="zh-CN"/>
        </w:rPr>
        <w:t xml:space="preserve"> </w:t>
      </w:r>
      <w:r w:rsidR="003A4CC9" w:rsidRPr="00817A34">
        <w:rPr>
          <w:b/>
          <w:bCs/>
          <w:lang w:eastAsia="zh-CN"/>
        </w:rPr>
        <w:t>les</w:t>
      </w:r>
      <w:r w:rsidR="00A61167">
        <w:rPr>
          <w:b/>
          <w:bCs/>
          <w:lang w:eastAsia="zh-CN"/>
        </w:rPr>
        <w:t xml:space="preserve"> ressources </w:t>
      </w:r>
      <w:r w:rsidR="003A4CC9" w:rsidRPr="00817A34">
        <w:rPr>
          <w:b/>
          <w:bCs/>
          <w:lang w:eastAsia="zh-CN"/>
        </w:rPr>
        <w:t xml:space="preserve">financières et </w:t>
      </w:r>
      <w:r w:rsidR="00A61167">
        <w:rPr>
          <w:b/>
          <w:bCs/>
          <w:lang w:eastAsia="zh-CN"/>
        </w:rPr>
        <w:t>humaines</w:t>
      </w:r>
      <w:r w:rsidR="000677B8">
        <w:rPr>
          <w:b/>
          <w:bCs/>
          <w:lang w:eastAsia="zh-CN"/>
        </w:rPr>
        <w:t xml:space="preserve"> adéquates</w:t>
      </w:r>
      <w:r w:rsidR="00A61167">
        <w:rPr>
          <w:b/>
          <w:bCs/>
          <w:lang w:eastAsia="zh-CN"/>
        </w:rPr>
        <w:t xml:space="preserve"> pour les</w:t>
      </w:r>
      <w:r w:rsidR="003A4CC9" w:rsidRPr="00817A34">
        <w:rPr>
          <w:b/>
          <w:bCs/>
          <w:lang w:eastAsia="zh-CN"/>
        </w:rPr>
        <w:t xml:space="preserve"> administrations dans les </w:t>
      </w:r>
      <w:r w:rsidR="003A4CC9" w:rsidRPr="00817A34">
        <w:rPr>
          <w:b/>
          <w:bCs/>
          <w:lang w:val="fr-FR" w:eastAsia="zh-CN"/>
        </w:rPr>
        <w:t>départements et régions d’outre-mer et les collectivités d’outre-mer,</w:t>
      </w:r>
      <w:r w:rsidR="003A4CC9" w:rsidRPr="00817A34">
        <w:rPr>
          <w:b/>
          <w:bCs/>
          <w:lang w:eastAsia="zh-CN"/>
        </w:rPr>
        <w:t xml:space="preserve"> afin que tous les habitants de l’État partie jouissent en toute égalité des droits </w:t>
      </w:r>
      <w:r w:rsidR="005F558B" w:rsidRPr="00817A34">
        <w:rPr>
          <w:b/>
          <w:bCs/>
        </w:rPr>
        <w:t>économiques, sociaux et culturels</w:t>
      </w:r>
      <w:r w:rsidR="003A4CC9" w:rsidRPr="00817A34">
        <w:rPr>
          <w:b/>
          <w:bCs/>
          <w:lang w:eastAsia="zh-CN"/>
        </w:rPr>
        <w:t xml:space="preserve">. </w:t>
      </w:r>
    </w:p>
    <w:p w14:paraId="4F4BF12F" w14:textId="2A623874" w:rsidR="00EC47B1" w:rsidRPr="00817A34" w:rsidRDefault="00EC47B1" w:rsidP="00AB261D">
      <w:pPr>
        <w:pStyle w:val="H23G"/>
        <w:tabs>
          <w:tab w:val="clear" w:pos="720"/>
          <w:tab w:val="clear" w:pos="851"/>
        </w:tabs>
        <w:ind w:left="1134"/>
      </w:pPr>
      <w:r w:rsidRPr="00817A34">
        <w:t xml:space="preserve">Égalité de droits entre hommes et femmes </w:t>
      </w:r>
    </w:p>
    <w:p w14:paraId="795CCB0F" w14:textId="534ABF46" w:rsidR="00EF6D6D" w:rsidRPr="00817A34" w:rsidRDefault="00767534" w:rsidP="00EF6D6D">
      <w:pPr>
        <w:pStyle w:val="SingleTxtG"/>
        <w:tabs>
          <w:tab w:val="left" w:pos="720"/>
        </w:tabs>
        <w:rPr>
          <w:bCs/>
        </w:rPr>
      </w:pPr>
      <w:r w:rsidRPr="00817A34">
        <w:rPr>
          <w:lang w:val="fr-FR"/>
        </w:rPr>
        <w:t>1</w:t>
      </w:r>
      <w:r w:rsidR="00CE2668">
        <w:rPr>
          <w:lang w:val="fr-FR"/>
        </w:rPr>
        <w:t>8</w:t>
      </w:r>
      <w:r w:rsidR="00EC47B1" w:rsidRPr="00817A34">
        <w:rPr>
          <w:lang w:val="fr-FR"/>
        </w:rPr>
        <w:t xml:space="preserve">. </w:t>
      </w:r>
      <w:r w:rsidR="00EC47B1" w:rsidRPr="00817A34">
        <w:rPr>
          <w:lang w:val="fr-FR"/>
        </w:rPr>
        <w:tab/>
        <w:t>Le Comité</w:t>
      </w:r>
      <w:r w:rsidR="00340D0F" w:rsidRPr="00817A34">
        <w:rPr>
          <w:lang w:val="fr-FR"/>
        </w:rPr>
        <w:t xml:space="preserve"> prend note de la mise en place de </w:t>
      </w:r>
      <w:r w:rsidR="00340D0F" w:rsidRPr="00817A34">
        <w:rPr>
          <w:bCs/>
          <w:lang w:val="fr-FR"/>
        </w:rPr>
        <w:t>l’index de l’égalité</w:t>
      </w:r>
      <w:r w:rsidR="00EF6D6D" w:rsidRPr="00817A34">
        <w:rPr>
          <w:bCs/>
          <w:lang w:val="fr-FR"/>
        </w:rPr>
        <w:t xml:space="preserve"> professionnel</w:t>
      </w:r>
      <w:r w:rsidR="003D1AB4">
        <w:rPr>
          <w:bCs/>
          <w:lang w:val="fr-FR"/>
        </w:rPr>
        <w:t>le</w:t>
      </w:r>
      <w:r w:rsidR="00EF6D6D" w:rsidRPr="00817A34">
        <w:rPr>
          <w:bCs/>
          <w:lang w:val="fr-FR"/>
        </w:rPr>
        <w:t xml:space="preserve"> entre les</w:t>
      </w:r>
      <w:r w:rsidR="00340D0F" w:rsidRPr="00817A34">
        <w:rPr>
          <w:bCs/>
          <w:lang w:val="fr-FR"/>
        </w:rPr>
        <w:t xml:space="preserve"> femmes et</w:t>
      </w:r>
      <w:r w:rsidR="00EF6D6D" w:rsidRPr="00817A34">
        <w:rPr>
          <w:bCs/>
          <w:lang w:val="fr-FR"/>
        </w:rPr>
        <w:t xml:space="preserve"> les</w:t>
      </w:r>
      <w:r w:rsidR="00340D0F" w:rsidRPr="00817A34">
        <w:rPr>
          <w:bCs/>
          <w:lang w:val="fr-FR"/>
        </w:rPr>
        <w:t xml:space="preserve"> hommes </w:t>
      </w:r>
      <w:r w:rsidR="00EF6D6D" w:rsidRPr="00817A34">
        <w:rPr>
          <w:bCs/>
          <w:lang w:val="fr-FR"/>
        </w:rPr>
        <w:t>visant à</w:t>
      </w:r>
      <w:r w:rsidR="00340D0F" w:rsidRPr="00817A34">
        <w:rPr>
          <w:bCs/>
          <w:lang w:val="fr-FR"/>
        </w:rPr>
        <w:t xml:space="preserve"> la suppression des écarts salariaux entre les femmes et les hommes</w:t>
      </w:r>
      <w:r w:rsidR="00EF6D6D" w:rsidRPr="00817A34">
        <w:rPr>
          <w:bCs/>
          <w:lang w:val="fr-FR"/>
        </w:rPr>
        <w:t>. Le Comité const</w:t>
      </w:r>
      <w:r w:rsidRPr="00817A34">
        <w:rPr>
          <w:bCs/>
          <w:lang w:val="fr-FR"/>
        </w:rPr>
        <w:t>ate,</w:t>
      </w:r>
      <w:r w:rsidR="00EF6D6D" w:rsidRPr="00817A34">
        <w:rPr>
          <w:bCs/>
          <w:lang w:val="fr-FR"/>
        </w:rPr>
        <w:t xml:space="preserve"> </w:t>
      </w:r>
      <w:r w:rsidRPr="00817A34">
        <w:rPr>
          <w:bCs/>
          <w:lang w:val="fr-FR"/>
        </w:rPr>
        <w:t>néanmoins,</w:t>
      </w:r>
      <w:r w:rsidR="00EF6D6D" w:rsidRPr="00817A34">
        <w:rPr>
          <w:bCs/>
          <w:lang w:val="fr-FR"/>
        </w:rPr>
        <w:t xml:space="preserve"> avec préoccupation que </w:t>
      </w:r>
      <w:r w:rsidR="00EF6D6D" w:rsidRPr="00817A34">
        <w:rPr>
          <w:bCs/>
        </w:rPr>
        <w:t>les causes structurelles des inégalités entre les femmes et les hommes persistent</w:t>
      </w:r>
      <w:r w:rsidRPr="00817A34">
        <w:rPr>
          <w:bCs/>
        </w:rPr>
        <w:t>.</w:t>
      </w:r>
      <w:r w:rsidR="00BF4DD6" w:rsidRPr="00817A34">
        <w:rPr>
          <w:bCs/>
        </w:rPr>
        <w:t xml:space="preserve"> Le Comité constate que l</w:t>
      </w:r>
      <w:r w:rsidRPr="00817A34">
        <w:rPr>
          <w:bCs/>
        </w:rPr>
        <w:t>e</w:t>
      </w:r>
      <w:r w:rsidR="00BF4DD6" w:rsidRPr="00817A34">
        <w:rPr>
          <w:bCs/>
        </w:rPr>
        <w:t xml:space="preserve">s femmes continuent à être surreprésentées dans les </w:t>
      </w:r>
      <w:r w:rsidR="00EF6D6D" w:rsidRPr="00817A34">
        <w:rPr>
          <w:bCs/>
        </w:rPr>
        <w:t>contrats</w:t>
      </w:r>
      <w:r w:rsidR="00BF4DD6" w:rsidRPr="00817A34">
        <w:rPr>
          <w:bCs/>
        </w:rPr>
        <w:t xml:space="preserve"> de travail</w:t>
      </w:r>
      <w:r w:rsidR="00EF6D6D" w:rsidRPr="00817A34">
        <w:rPr>
          <w:bCs/>
        </w:rPr>
        <w:t xml:space="preserve"> à durée déterminée</w:t>
      </w:r>
      <w:r w:rsidR="00BF4DD6" w:rsidRPr="00817A34">
        <w:rPr>
          <w:bCs/>
        </w:rPr>
        <w:t xml:space="preserve">, à travailler davantage à </w:t>
      </w:r>
      <w:r w:rsidR="00EF6D6D" w:rsidRPr="00817A34">
        <w:rPr>
          <w:bCs/>
        </w:rPr>
        <w:t xml:space="preserve">temps partiel et </w:t>
      </w:r>
      <w:r w:rsidR="00BF4DD6" w:rsidRPr="00817A34">
        <w:rPr>
          <w:bCs/>
        </w:rPr>
        <w:t xml:space="preserve">à être concentrées </w:t>
      </w:r>
      <w:r w:rsidR="00EF6D6D" w:rsidRPr="00817A34">
        <w:rPr>
          <w:bCs/>
        </w:rPr>
        <w:t xml:space="preserve">dans certaines professions traditionnellement </w:t>
      </w:r>
      <w:r w:rsidR="00705110" w:rsidRPr="00817A34">
        <w:rPr>
          <w:bCs/>
        </w:rPr>
        <w:t>occupées pas les femmes</w:t>
      </w:r>
      <w:r w:rsidR="00BF4DD6" w:rsidRPr="00817A34">
        <w:rPr>
          <w:bCs/>
        </w:rPr>
        <w:t xml:space="preserve"> ce qui limite </w:t>
      </w:r>
      <w:r w:rsidR="003D1AB4">
        <w:rPr>
          <w:bCs/>
        </w:rPr>
        <w:t>la réduction de</w:t>
      </w:r>
      <w:r w:rsidR="00BF4DD6" w:rsidRPr="00817A34">
        <w:rPr>
          <w:bCs/>
        </w:rPr>
        <w:t xml:space="preserve"> l’écart salarial entre</w:t>
      </w:r>
      <w:r w:rsidR="003D1AB4">
        <w:rPr>
          <w:bCs/>
        </w:rPr>
        <w:t xml:space="preserve"> les</w:t>
      </w:r>
      <w:r w:rsidR="00BF4DD6" w:rsidRPr="00817A34">
        <w:rPr>
          <w:bCs/>
        </w:rPr>
        <w:t xml:space="preserve"> hommes et</w:t>
      </w:r>
      <w:r w:rsidR="003D1AB4">
        <w:rPr>
          <w:bCs/>
        </w:rPr>
        <w:t xml:space="preserve"> les</w:t>
      </w:r>
      <w:r w:rsidR="00BF4DD6" w:rsidRPr="00817A34">
        <w:rPr>
          <w:bCs/>
        </w:rPr>
        <w:t xml:space="preserve"> femmes</w:t>
      </w:r>
      <w:r w:rsidR="00705110" w:rsidRPr="00817A34">
        <w:rPr>
          <w:bCs/>
        </w:rPr>
        <w:t xml:space="preserve"> (arts. 3</w:t>
      </w:r>
      <w:r w:rsidR="00BF4DD6" w:rsidRPr="00817A34">
        <w:rPr>
          <w:bCs/>
        </w:rPr>
        <w:t xml:space="preserve"> et</w:t>
      </w:r>
      <w:r w:rsidRPr="00817A34">
        <w:rPr>
          <w:bCs/>
        </w:rPr>
        <w:t xml:space="preserve"> </w:t>
      </w:r>
      <w:r w:rsidR="00705110" w:rsidRPr="00817A34">
        <w:rPr>
          <w:bCs/>
        </w:rPr>
        <w:t>6).</w:t>
      </w:r>
    </w:p>
    <w:p w14:paraId="3FAB9BE8" w14:textId="7598CEDF" w:rsidR="00EB513A" w:rsidRPr="00817A34" w:rsidRDefault="00BF4DD6" w:rsidP="00CB239C">
      <w:pPr>
        <w:pStyle w:val="SingleTxtG"/>
        <w:tabs>
          <w:tab w:val="left" w:pos="720"/>
        </w:tabs>
        <w:rPr>
          <w:b/>
          <w:bCs/>
        </w:rPr>
      </w:pPr>
      <w:r w:rsidRPr="00AB261D">
        <w:rPr>
          <w:lang w:val="fr-FR"/>
        </w:rPr>
        <w:t>1</w:t>
      </w:r>
      <w:r w:rsidR="00CE2668">
        <w:rPr>
          <w:lang w:val="fr-FR"/>
        </w:rPr>
        <w:t>9</w:t>
      </w:r>
      <w:r w:rsidR="00EC47B1" w:rsidRPr="00AB261D">
        <w:rPr>
          <w:lang w:val="fr-FR"/>
        </w:rPr>
        <w:t xml:space="preserve">. </w:t>
      </w:r>
      <w:r w:rsidR="00EC47B1" w:rsidRPr="00AB261D">
        <w:rPr>
          <w:lang w:val="fr-FR"/>
        </w:rPr>
        <w:tab/>
      </w:r>
      <w:r w:rsidR="006C6D43" w:rsidRPr="00817A34">
        <w:rPr>
          <w:b/>
          <w:bCs/>
        </w:rPr>
        <w:t xml:space="preserve">Le Comité </w:t>
      </w:r>
      <w:r w:rsidR="00CB239C" w:rsidRPr="00817A34">
        <w:rPr>
          <w:b/>
          <w:bCs/>
        </w:rPr>
        <w:t>réitère sa recommandation précédente</w:t>
      </w:r>
      <w:r w:rsidR="00CB239C" w:rsidRPr="00817A34">
        <w:rPr>
          <w:rStyle w:val="Appelnotedebasdep"/>
          <w:b/>
          <w:bCs/>
        </w:rPr>
        <w:footnoteReference w:id="8"/>
      </w:r>
      <w:r w:rsidR="00CB239C" w:rsidRPr="00817A34">
        <w:rPr>
          <w:b/>
          <w:bCs/>
        </w:rPr>
        <w:t xml:space="preserve"> et engage </w:t>
      </w:r>
      <w:r w:rsidR="006C6D43" w:rsidRPr="00817A34">
        <w:rPr>
          <w:b/>
          <w:bCs/>
        </w:rPr>
        <w:t>à l’État partie</w:t>
      </w:r>
      <w:r w:rsidR="00EB513A" w:rsidRPr="00817A34">
        <w:rPr>
          <w:b/>
          <w:bCs/>
        </w:rPr>
        <w:t> </w:t>
      </w:r>
      <w:r w:rsidR="006C6D43" w:rsidRPr="00817A34">
        <w:rPr>
          <w:b/>
          <w:bCs/>
        </w:rPr>
        <w:t>de redoubler d’efforts pour</w:t>
      </w:r>
      <w:r w:rsidR="00CB239C" w:rsidRPr="00817A34">
        <w:rPr>
          <w:b/>
          <w:bCs/>
        </w:rPr>
        <w:t xml:space="preserve"> </w:t>
      </w:r>
      <w:r w:rsidR="00040633" w:rsidRPr="00817A34">
        <w:rPr>
          <w:b/>
          <w:bCs/>
        </w:rPr>
        <w:t>parvenir à une égalité concrète entre les hommes et les femmes</w:t>
      </w:r>
      <w:r w:rsidR="00CB239C" w:rsidRPr="00817A34">
        <w:rPr>
          <w:b/>
          <w:bCs/>
        </w:rPr>
        <w:t>. Le Comité recommande également à l’</w:t>
      </w:r>
      <w:r w:rsidR="006938F7" w:rsidRPr="00817A34">
        <w:rPr>
          <w:b/>
          <w:bCs/>
        </w:rPr>
        <w:t>État</w:t>
      </w:r>
      <w:r w:rsidR="00CB239C" w:rsidRPr="00817A34">
        <w:rPr>
          <w:b/>
          <w:bCs/>
        </w:rPr>
        <w:t xml:space="preserve"> partie de prendre des mesures adéquates pour </w:t>
      </w:r>
      <w:r w:rsidR="00040633" w:rsidRPr="00817A34">
        <w:rPr>
          <w:b/>
          <w:bCs/>
          <w:lang w:val="fr-FR"/>
        </w:rPr>
        <w:t>accroître la participation des femmes au marché du travail</w:t>
      </w:r>
      <w:r w:rsidR="00CB239C" w:rsidRPr="00817A34">
        <w:rPr>
          <w:b/>
          <w:bCs/>
          <w:lang w:val="fr-FR"/>
        </w:rPr>
        <w:t xml:space="preserve">, </w:t>
      </w:r>
      <w:r w:rsidR="00040633" w:rsidRPr="00817A34">
        <w:rPr>
          <w:b/>
          <w:bCs/>
        </w:rPr>
        <w:t xml:space="preserve">garantir </w:t>
      </w:r>
      <w:r w:rsidR="00040633" w:rsidRPr="00817A34">
        <w:rPr>
          <w:b/>
          <w:bCs/>
          <w:lang w:val="fr-FR"/>
        </w:rPr>
        <w:t>que les femmes aient la possibilité de suivre des parcours professionnels non traditionnels, notamment en combattant les stéréotypes liés au genre</w:t>
      </w:r>
      <w:r w:rsidR="00CB239C" w:rsidRPr="00817A34">
        <w:rPr>
          <w:b/>
          <w:bCs/>
          <w:lang w:val="fr-FR"/>
        </w:rPr>
        <w:t xml:space="preserve"> e</w:t>
      </w:r>
      <w:r w:rsidR="00040633" w:rsidRPr="00817A34">
        <w:rPr>
          <w:b/>
          <w:bCs/>
          <w:lang w:val="fr-FR"/>
        </w:rPr>
        <w:t xml:space="preserve">t </w:t>
      </w:r>
      <w:r w:rsidR="00CB239C" w:rsidRPr="00817A34">
        <w:rPr>
          <w:b/>
          <w:bCs/>
          <w:lang w:val="fr-FR"/>
        </w:rPr>
        <w:t xml:space="preserve">pour </w:t>
      </w:r>
      <w:r w:rsidR="00040633" w:rsidRPr="00817A34">
        <w:rPr>
          <w:b/>
          <w:bCs/>
        </w:rPr>
        <w:t>promou</w:t>
      </w:r>
      <w:r w:rsidR="00CB239C" w:rsidRPr="00817A34">
        <w:rPr>
          <w:b/>
          <w:bCs/>
        </w:rPr>
        <w:t xml:space="preserve">voir </w:t>
      </w:r>
      <w:r w:rsidR="00040633" w:rsidRPr="00817A34">
        <w:rPr>
          <w:b/>
          <w:bCs/>
        </w:rPr>
        <w:t>un partage égal des responsabilités familiales entre les hommes et les femmes</w:t>
      </w:r>
      <w:r w:rsidR="00CB239C" w:rsidRPr="00817A34">
        <w:rPr>
          <w:bCs/>
        </w:rPr>
        <w:t xml:space="preserve">. </w:t>
      </w:r>
      <w:r w:rsidR="00CB239C" w:rsidRPr="00817A34">
        <w:rPr>
          <w:b/>
        </w:rPr>
        <w:t xml:space="preserve">Le Comité </w:t>
      </w:r>
      <w:r w:rsidR="003D1AB4">
        <w:rPr>
          <w:b/>
        </w:rPr>
        <w:t xml:space="preserve">renvoie </w:t>
      </w:r>
      <w:r w:rsidR="00CB239C" w:rsidRPr="00817A34">
        <w:rPr>
          <w:b/>
        </w:rPr>
        <w:t>l’</w:t>
      </w:r>
      <w:r w:rsidR="006938F7" w:rsidRPr="00817A34">
        <w:rPr>
          <w:b/>
        </w:rPr>
        <w:t>État</w:t>
      </w:r>
      <w:r w:rsidR="00CB239C" w:rsidRPr="00817A34">
        <w:rPr>
          <w:b/>
        </w:rPr>
        <w:t xml:space="preserve"> partie à son observation</w:t>
      </w:r>
      <w:r w:rsidR="00CB239C" w:rsidRPr="00817A34">
        <w:rPr>
          <w:b/>
          <w:bCs/>
        </w:rPr>
        <w:t xml:space="preserve"> générale n° 16 (2005) sur le droit égal de l’homme et de la femme au bénéfice de tous les droits économiques, sociaux et culturels</w:t>
      </w:r>
      <w:r w:rsidRPr="00817A34">
        <w:rPr>
          <w:b/>
          <w:bCs/>
        </w:rPr>
        <w:t>.</w:t>
      </w:r>
    </w:p>
    <w:p w14:paraId="2EA188E6" w14:textId="1F57BCBE" w:rsidR="00EC47B1" w:rsidRPr="00817A34" w:rsidRDefault="00EC47B1" w:rsidP="00AB261D">
      <w:pPr>
        <w:pStyle w:val="H23G"/>
        <w:tabs>
          <w:tab w:val="clear" w:pos="720"/>
          <w:tab w:val="clear" w:pos="851"/>
        </w:tabs>
        <w:ind w:left="1134"/>
      </w:pPr>
      <w:r w:rsidRPr="00817A34">
        <w:t xml:space="preserve">Droit au travail </w:t>
      </w:r>
    </w:p>
    <w:p w14:paraId="3CE16B8C" w14:textId="3516E9F0" w:rsidR="001845BB" w:rsidRPr="00817A34" w:rsidRDefault="00CE2668" w:rsidP="003D1AB4">
      <w:pPr>
        <w:pStyle w:val="SingleTxtG"/>
        <w:rPr>
          <w:lang w:val="fr-FR"/>
        </w:rPr>
      </w:pPr>
      <w:r>
        <w:rPr>
          <w:lang w:val="fr-FR"/>
        </w:rPr>
        <w:t>20</w:t>
      </w:r>
      <w:r w:rsidR="00EC47B1" w:rsidRPr="00817A34">
        <w:rPr>
          <w:lang w:val="fr-FR"/>
        </w:rPr>
        <w:t xml:space="preserve">. </w:t>
      </w:r>
      <w:r w:rsidR="00EC47B1" w:rsidRPr="00817A34">
        <w:rPr>
          <w:lang w:val="fr-FR"/>
        </w:rPr>
        <w:tab/>
      </w:r>
      <w:r w:rsidR="001845BB" w:rsidRPr="00817A34">
        <w:rPr>
          <w:lang w:val="fr-FR"/>
        </w:rPr>
        <w:t>Le Comité accueille avec satisfaction la baisse constante d</w:t>
      </w:r>
      <w:r w:rsidR="00CE2254" w:rsidRPr="00817A34">
        <w:rPr>
          <w:lang w:val="fr-FR"/>
        </w:rPr>
        <w:t>u</w:t>
      </w:r>
      <w:r w:rsidR="001845BB" w:rsidRPr="00817A34">
        <w:rPr>
          <w:lang w:val="fr-FR"/>
        </w:rPr>
        <w:t xml:space="preserve"> taux de chômage enregistrée </w:t>
      </w:r>
      <w:r w:rsidR="00CE2254" w:rsidRPr="00817A34">
        <w:rPr>
          <w:lang w:val="fr-FR"/>
        </w:rPr>
        <w:t xml:space="preserve">pendant </w:t>
      </w:r>
      <w:r w:rsidR="001845BB" w:rsidRPr="00817A34">
        <w:rPr>
          <w:lang w:val="fr-FR"/>
        </w:rPr>
        <w:t xml:space="preserve">ces dernières années. Le Comité est toutefois préoccupé par les informations selon lesquelles certains groupes, en particulier les Roms, les personnes </w:t>
      </w:r>
      <w:r w:rsidR="00E60EDF" w:rsidRPr="00817A34">
        <w:rPr>
          <w:lang w:val="fr-FR"/>
        </w:rPr>
        <w:t xml:space="preserve">en situation de </w:t>
      </w:r>
      <w:r w:rsidR="001845BB" w:rsidRPr="00817A34">
        <w:rPr>
          <w:lang w:val="fr-FR"/>
        </w:rPr>
        <w:t>handicap,</w:t>
      </w:r>
      <w:r w:rsidR="00D42B5C" w:rsidRPr="00817A34">
        <w:rPr>
          <w:lang w:val="fr-FR"/>
        </w:rPr>
        <w:t xml:space="preserve"> les personnes appartenant à des groupes minoritaires, </w:t>
      </w:r>
      <w:r w:rsidR="001845BB" w:rsidRPr="00817A34">
        <w:rPr>
          <w:lang w:val="fr-FR"/>
        </w:rPr>
        <w:t>les femmes, les jeunes et les migrants, continuent de rencontrer des difficultés pour accéder au travail</w:t>
      </w:r>
      <w:r w:rsidR="00D42B5C" w:rsidRPr="00817A34">
        <w:rPr>
          <w:lang w:val="fr-FR"/>
        </w:rPr>
        <w:t xml:space="preserve"> </w:t>
      </w:r>
      <w:r w:rsidR="001845BB" w:rsidRPr="00817A34">
        <w:rPr>
          <w:lang w:val="fr-FR"/>
        </w:rPr>
        <w:t>(art. 6).</w:t>
      </w:r>
    </w:p>
    <w:p w14:paraId="7BB67FB7" w14:textId="5B2B3B58" w:rsidR="001845BB" w:rsidRPr="00817A34" w:rsidRDefault="000677B8" w:rsidP="007E0741">
      <w:pPr>
        <w:pStyle w:val="SingleTxtG"/>
        <w:rPr>
          <w:b/>
          <w:bCs/>
          <w:lang w:val="fr-FR"/>
        </w:rPr>
      </w:pPr>
      <w:r>
        <w:rPr>
          <w:lang w:val="fr-FR"/>
        </w:rPr>
        <w:t>2</w:t>
      </w:r>
      <w:r w:rsidR="00CE2668">
        <w:rPr>
          <w:lang w:val="fr-FR"/>
        </w:rPr>
        <w:t>1</w:t>
      </w:r>
      <w:r w:rsidR="001845BB" w:rsidRPr="00817A34">
        <w:rPr>
          <w:lang w:val="fr-FR"/>
        </w:rPr>
        <w:t>.</w:t>
      </w:r>
      <w:r w:rsidR="001845BB" w:rsidRPr="00817A34">
        <w:rPr>
          <w:lang w:val="fr-FR"/>
        </w:rPr>
        <w:tab/>
      </w:r>
      <w:r w:rsidR="001845BB" w:rsidRPr="00817A34">
        <w:rPr>
          <w:b/>
          <w:bCs/>
          <w:lang w:val="fr-FR"/>
        </w:rPr>
        <w:t>Réitérant les recommandations qu'il a déjà formulées dans ses précédentes observations finales</w:t>
      </w:r>
      <w:r w:rsidR="001C7871" w:rsidRPr="00817A34">
        <w:rPr>
          <w:rStyle w:val="Appelnotedebasdep"/>
          <w:b/>
          <w:bCs/>
        </w:rPr>
        <w:footnoteReference w:id="9"/>
      </w:r>
      <w:r w:rsidR="001845BB" w:rsidRPr="00817A34">
        <w:rPr>
          <w:b/>
          <w:bCs/>
          <w:lang w:val="fr-FR"/>
        </w:rPr>
        <w:t>, le Comité recommande</w:t>
      </w:r>
      <w:r w:rsidR="007E0741" w:rsidRPr="00817A34">
        <w:rPr>
          <w:b/>
          <w:bCs/>
        </w:rPr>
        <w:t xml:space="preserve"> à l’État partie de continuer à renforcer sa politique de l’emploi afin de s’attaquer aux causes profondes du chômage et d’intégrer un plan d’action avec des objectifs </w:t>
      </w:r>
      <w:r w:rsidR="007D35F6" w:rsidRPr="00817A34">
        <w:rPr>
          <w:b/>
          <w:bCs/>
        </w:rPr>
        <w:t xml:space="preserve">précis </w:t>
      </w:r>
      <w:r w:rsidR="007E0741" w:rsidRPr="00817A34">
        <w:rPr>
          <w:b/>
          <w:bCs/>
        </w:rPr>
        <w:t>et assortis de délais</w:t>
      </w:r>
      <w:r w:rsidR="007D35F6" w:rsidRPr="00817A34">
        <w:rPr>
          <w:b/>
          <w:bCs/>
        </w:rPr>
        <w:t xml:space="preserve"> pour mesurer régulièrement les progrès, en tenant compte</w:t>
      </w:r>
      <w:r w:rsidR="007E0741" w:rsidRPr="00817A34">
        <w:rPr>
          <w:b/>
          <w:bCs/>
        </w:rPr>
        <w:t xml:space="preserve"> spécifiquement </w:t>
      </w:r>
      <w:r w:rsidR="007D35F6" w:rsidRPr="00817A34">
        <w:rPr>
          <w:b/>
          <w:bCs/>
        </w:rPr>
        <w:t>des besoins d</w:t>
      </w:r>
      <w:r w:rsidR="007E0741" w:rsidRPr="00817A34">
        <w:rPr>
          <w:b/>
          <w:bCs/>
        </w:rPr>
        <w:t xml:space="preserve">es groupes touchés de manière </w:t>
      </w:r>
      <w:r w:rsidR="007E0741" w:rsidRPr="00817A34">
        <w:rPr>
          <w:b/>
          <w:bCs/>
        </w:rPr>
        <w:lastRenderedPageBreak/>
        <w:t>disproportionnée par le chômage, dont les jeunes, les personnes</w:t>
      </w:r>
      <w:r w:rsidR="00E60EDF" w:rsidRPr="00817A34">
        <w:rPr>
          <w:b/>
          <w:bCs/>
        </w:rPr>
        <w:t xml:space="preserve"> en situation de</w:t>
      </w:r>
      <w:r w:rsidR="007E0741" w:rsidRPr="00817A34">
        <w:rPr>
          <w:b/>
          <w:bCs/>
        </w:rPr>
        <w:t xml:space="preserve"> handicap</w:t>
      </w:r>
      <w:r w:rsidR="007D35F6" w:rsidRPr="00817A34">
        <w:rPr>
          <w:b/>
          <w:bCs/>
        </w:rPr>
        <w:t>, les femmes</w:t>
      </w:r>
      <w:r w:rsidR="007E0741" w:rsidRPr="00817A34">
        <w:rPr>
          <w:b/>
          <w:bCs/>
        </w:rPr>
        <w:t xml:space="preserve"> et les personnes appartenant à une minorité ethnique</w:t>
      </w:r>
      <w:r w:rsidR="007D35F6" w:rsidRPr="00817A34">
        <w:rPr>
          <w:b/>
          <w:bCs/>
        </w:rPr>
        <w:t xml:space="preserve">, y compris les Roms, les </w:t>
      </w:r>
      <w:r w:rsidR="003D1AB4" w:rsidRPr="009C1666">
        <w:rPr>
          <w:b/>
          <w:bCs/>
          <w:lang w:val="fr-FR"/>
        </w:rPr>
        <w:t>des personnes issues de l’immigration notamment nord-africaine et subsaharienne</w:t>
      </w:r>
      <w:r w:rsidR="007D35F6" w:rsidRPr="00817A34">
        <w:rPr>
          <w:b/>
          <w:bCs/>
        </w:rPr>
        <w:t>. Le Comité encourage à l’</w:t>
      </w:r>
      <w:r w:rsidR="00797691">
        <w:rPr>
          <w:b/>
          <w:bCs/>
        </w:rPr>
        <w:t>É</w:t>
      </w:r>
      <w:r w:rsidR="007D35F6" w:rsidRPr="00817A34">
        <w:rPr>
          <w:b/>
          <w:bCs/>
        </w:rPr>
        <w:t xml:space="preserve">tat partie </w:t>
      </w:r>
      <w:r w:rsidR="00F96814">
        <w:rPr>
          <w:b/>
          <w:bCs/>
        </w:rPr>
        <w:t>à</w:t>
      </w:r>
      <w:r w:rsidR="00F96814" w:rsidRPr="00817A34">
        <w:rPr>
          <w:b/>
          <w:bCs/>
        </w:rPr>
        <w:t xml:space="preserve"> </w:t>
      </w:r>
      <w:r w:rsidR="007D35F6" w:rsidRPr="00817A34">
        <w:rPr>
          <w:b/>
          <w:bCs/>
          <w:lang w:val="fr-FR"/>
        </w:rPr>
        <w:t>p</w:t>
      </w:r>
      <w:r w:rsidR="001845BB" w:rsidRPr="00817A34">
        <w:rPr>
          <w:b/>
          <w:bCs/>
          <w:lang w:val="fr-FR"/>
        </w:rPr>
        <w:t>rendre en compte l'observation générale n° 18 (2005) du Comité sur le droit au travail.</w:t>
      </w:r>
    </w:p>
    <w:p w14:paraId="6DADEF52" w14:textId="5BB6FD58" w:rsidR="001845BB" w:rsidRPr="00817A34" w:rsidRDefault="001845BB" w:rsidP="00AB261D">
      <w:pPr>
        <w:pStyle w:val="H23G"/>
        <w:tabs>
          <w:tab w:val="clear" w:pos="720"/>
          <w:tab w:val="clear" w:pos="851"/>
        </w:tabs>
        <w:ind w:left="1134"/>
      </w:pPr>
      <w:r w:rsidRPr="00817A34">
        <w:t xml:space="preserve">Salaire minimum </w:t>
      </w:r>
    </w:p>
    <w:p w14:paraId="1621EFE3" w14:textId="2C1F2D37" w:rsidR="001845BB" w:rsidRPr="00817A34" w:rsidRDefault="000677B8" w:rsidP="001845BB">
      <w:pPr>
        <w:pStyle w:val="SingleTxtG"/>
        <w:tabs>
          <w:tab w:val="left" w:pos="720"/>
        </w:tabs>
        <w:rPr>
          <w:lang w:val="fr-FR"/>
        </w:rPr>
      </w:pPr>
      <w:r w:rsidRPr="00817A34">
        <w:rPr>
          <w:lang w:val="fr-FR"/>
        </w:rPr>
        <w:t>2</w:t>
      </w:r>
      <w:r w:rsidR="00CE2668">
        <w:rPr>
          <w:lang w:val="fr-FR"/>
        </w:rPr>
        <w:t>2</w:t>
      </w:r>
      <w:r w:rsidR="00A01ADB" w:rsidRPr="00817A34">
        <w:rPr>
          <w:lang w:val="fr-FR"/>
        </w:rPr>
        <w:t>.</w:t>
      </w:r>
      <w:r w:rsidR="00A01ADB" w:rsidRPr="00817A34">
        <w:rPr>
          <w:lang w:val="fr-FR"/>
        </w:rPr>
        <w:tab/>
      </w:r>
      <w:r w:rsidR="001845BB" w:rsidRPr="00817A34">
        <w:rPr>
          <w:lang w:val="fr-FR"/>
        </w:rPr>
        <w:t>Le Comité constate avec préoccupation que le salaire minimum, d’après les informations reçues, reste insuffisant pour assurer un niveau de vie décent aux travailleurs et à leur famille (art. 7).</w:t>
      </w:r>
    </w:p>
    <w:p w14:paraId="3BFDAD31" w14:textId="43165EB0" w:rsidR="004B56C3" w:rsidRPr="00817A34" w:rsidRDefault="000677B8" w:rsidP="004B56C3">
      <w:pPr>
        <w:pStyle w:val="SingleTxtG"/>
        <w:rPr>
          <w:b/>
          <w:bCs/>
          <w:lang w:val="fr-FR"/>
        </w:rPr>
      </w:pPr>
      <w:r w:rsidRPr="00AB261D">
        <w:rPr>
          <w:lang w:val="fr-FR"/>
        </w:rPr>
        <w:t>2</w:t>
      </w:r>
      <w:r w:rsidR="00CE2668">
        <w:rPr>
          <w:lang w:val="fr-FR"/>
        </w:rPr>
        <w:t>3</w:t>
      </w:r>
      <w:r w:rsidR="00A01ADB" w:rsidRPr="00AB261D">
        <w:rPr>
          <w:lang w:val="fr-FR"/>
        </w:rPr>
        <w:t>.</w:t>
      </w:r>
      <w:r w:rsidR="00A01ADB" w:rsidRPr="00817A34">
        <w:rPr>
          <w:b/>
          <w:bCs/>
          <w:lang w:val="fr-FR"/>
        </w:rPr>
        <w:tab/>
      </w:r>
      <w:r w:rsidR="001845BB" w:rsidRPr="00817A34">
        <w:rPr>
          <w:b/>
          <w:bCs/>
          <w:lang w:val="fr-FR"/>
        </w:rPr>
        <w:t>Le Comité recommande à l’</w:t>
      </w:r>
      <w:r w:rsidR="00797691">
        <w:rPr>
          <w:b/>
          <w:bCs/>
          <w:lang w:val="fr-FR"/>
        </w:rPr>
        <w:t>É</w:t>
      </w:r>
      <w:r w:rsidR="001845BB" w:rsidRPr="00817A34">
        <w:rPr>
          <w:b/>
          <w:bCs/>
          <w:lang w:val="fr-FR"/>
        </w:rPr>
        <w:t>tat partie d’intensifier ses efforts pour que le salaire minim</w:t>
      </w:r>
      <w:r w:rsidR="00186034" w:rsidRPr="00817A34">
        <w:rPr>
          <w:b/>
          <w:bCs/>
          <w:lang w:val="fr-FR"/>
        </w:rPr>
        <w:t>um</w:t>
      </w:r>
      <w:r w:rsidR="001845BB" w:rsidRPr="00817A34">
        <w:rPr>
          <w:b/>
          <w:bCs/>
          <w:lang w:val="fr-FR"/>
        </w:rPr>
        <w:t xml:space="preserve"> soit d’un montant suffisant pour permettre aux travailleurs et à leur famille de jouir d’un niveau de vie décent</w:t>
      </w:r>
      <w:r w:rsidR="004B56C3" w:rsidRPr="00817A34">
        <w:rPr>
          <w:b/>
          <w:bCs/>
          <w:lang w:val="fr-FR"/>
        </w:rPr>
        <w:t xml:space="preserve">, en veillant à son indexation sur le coût de la vie. </w:t>
      </w:r>
    </w:p>
    <w:p w14:paraId="5C567F9D" w14:textId="7452E483" w:rsidR="00EC47B1" w:rsidRPr="00817A34" w:rsidRDefault="001845BB" w:rsidP="00AB261D">
      <w:pPr>
        <w:pStyle w:val="H23G"/>
        <w:tabs>
          <w:tab w:val="clear" w:pos="720"/>
          <w:tab w:val="clear" w:pos="851"/>
        </w:tabs>
        <w:ind w:left="1134"/>
      </w:pPr>
      <w:r w:rsidRPr="00817A34">
        <w:t>D</w:t>
      </w:r>
      <w:r w:rsidR="00EC47B1" w:rsidRPr="00817A34">
        <w:t xml:space="preserve">roit à des conditions de travail justes et favorables </w:t>
      </w:r>
    </w:p>
    <w:p w14:paraId="298EB559" w14:textId="4C3B5942" w:rsidR="001845BB" w:rsidRPr="00817A34" w:rsidRDefault="000677B8" w:rsidP="00D64769">
      <w:pPr>
        <w:pStyle w:val="SingleTxtG"/>
      </w:pPr>
      <w:r w:rsidRPr="00817A34">
        <w:rPr>
          <w:lang w:val="fr-FR"/>
        </w:rPr>
        <w:t>2</w:t>
      </w:r>
      <w:r w:rsidR="00CE2668">
        <w:rPr>
          <w:lang w:val="fr-FR"/>
        </w:rPr>
        <w:t>4</w:t>
      </w:r>
      <w:r w:rsidR="00EC47B1" w:rsidRPr="00817A34">
        <w:rPr>
          <w:lang w:val="fr-FR"/>
        </w:rPr>
        <w:t xml:space="preserve">. </w:t>
      </w:r>
      <w:r w:rsidR="00EC47B1" w:rsidRPr="00817A34">
        <w:rPr>
          <w:lang w:val="fr-FR"/>
        </w:rPr>
        <w:tab/>
      </w:r>
      <w:r w:rsidR="00713A0A" w:rsidRPr="00817A34">
        <w:rPr>
          <w:lang w:val="fr-FR"/>
        </w:rPr>
        <w:t xml:space="preserve">Le Comité </w:t>
      </w:r>
      <w:r w:rsidR="00C774EA" w:rsidRPr="00817A34">
        <w:rPr>
          <w:lang w:val="fr-FR"/>
        </w:rPr>
        <w:t xml:space="preserve">est préoccupé par le fait que </w:t>
      </w:r>
      <w:r w:rsidR="002141CB" w:rsidRPr="00817A34">
        <w:rPr>
          <w:lang w:val="fr-FR"/>
        </w:rPr>
        <w:t xml:space="preserve">la précarité de l’emploi, notamment les emplois mal rémunérés, les emplois à temps partiel et les contrats temporaires sont largement répandus. Le Comité s’inquiète particulièrement </w:t>
      </w:r>
      <w:r w:rsidR="00D64769" w:rsidRPr="00D64769">
        <w:rPr>
          <w:lang w:val="fr-FR"/>
        </w:rPr>
        <w:t xml:space="preserve">des conditions de travail précaires et des risques d’abus et d’exploitation auxquels les travailleurs sont exposés </w:t>
      </w:r>
      <w:r w:rsidR="001845BB" w:rsidRPr="00817A34">
        <w:rPr>
          <w:lang w:val="fr-FR"/>
        </w:rPr>
        <w:t xml:space="preserve">(arts. </w:t>
      </w:r>
      <w:r w:rsidR="001845BB" w:rsidRPr="00817A34">
        <w:t xml:space="preserve">2, 3, 6 and 7). </w:t>
      </w:r>
    </w:p>
    <w:p w14:paraId="62CFEFF8" w14:textId="1BDC1238" w:rsidR="001845BB" w:rsidRPr="00817A34" w:rsidRDefault="000677B8" w:rsidP="001845BB">
      <w:pPr>
        <w:pStyle w:val="SingleTxtG"/>
        <w:rPr>
          <w:b/>
          <w:bCs/>
          <w:lang w:val="fr-FR"/>
        </w:rPr>
      </w:pPr>
      <w:r w:rsidRPr="00817A34">
        <w:rPr>
          <w:lang w:val="fr-FR"/>
        </w:rPr>
        <w:t>2</w:t>
      </w:r>
      <w:r w:rsidR="00CE2668">
        <w:rPr>
          <w:lang w:val="fr-FR"/>
        </w:rPr>
        <w:t>5</w:t>
      </w:r>
      <w:r w:rsidR="001845BB" w:rsidRPr="00817A34">
        <w:rPr>
          <w:lang w:val="fr-FR"/>
        </w:rPr>
        <w:t>.</w:t>
      </w:r>
      <w:r w:rsidR="001845BB" w:rsidRPr="00817A34">
        <w:rPr>
          <w:lang w:val="fr-FR"/>
        </w:rPr>
        <w:tab/>
      </w:r>
      <w:r w:rsidR="001845BB" w:rsidRPr="00817A34">
        <w:rPr>
          <w:b/>
          <w:bCs/>
          <w:lang w:val="fr-FR"/>
        </w:rPr>
        <w:t>Le Comité recommande à l’État partie</w:t>
      </w:r>
      <w:r w:rsidR="00B4388B" w:rsidRPr="00817A34">
        <w:rPr>
          <w:b/>
          <w:bCs/>
          <w:lang w:val="fr-FR"/>
        </w:rPr>
        <w:t xml:space="preserve"> </w:t>
      </w:r>
      <w:r w:rsidR="001845BB" w:rsidRPr="00817A34">
        <w:rPr>
          <w:b/>
          <w:bCs/>
          <w:lang w:val="fr-FR"/>
        </w:rPr>
        <w:t>:</w:t>
      </w:r>
    </w:p>
    <w:p w14:paraId="7E3BDB95" w14:textId="626AF7D2" w:rsidR="002141CB" w:rsidRPr="00817A34" w:rsidRDefault="002141CB" w:rsidP="00AB261D">
      <w:pPr>
        <w:pStyle w:val="SingleTxtG"/>
        <w:numPr>
          <w:ilvl w:val="0"/>
          <w:numId w:val="33"/>
        </w:numPr>
        <w:ind w:left="1134" w:firstLine="567"/>
        <w:rPr>
          <w:b/>
          <w:bCs/>
          <w:lang w:val="fr-FR"/>
        </w:rPr>
      </w:pPr>
      <w:r w:rsidRPr="00817A34">
        <w:rPr>
          <w:b/>
          <w:bCs/>
        </w:rPr>
        <w:t xml:space="preserve">De prendre toutes les mesures nécessaires pour limiter </w:t>
      </w:r>
      <w:r w:rsidR="00D64769">
        <w:rPr>
          <w:b/>
          <w:bCs/>
        </w:rPr>
        <w:t>le recours à</w:t>
      </w:r>
      <w:r w:rsidR="00D64769" w:rsidRPr="00817A34">
        <w:rPr>
          <w:b/>
          <w:bCs/>
        </w:rPr>
        <w:t xml:space="preserve"> </w:t>
      </w:r>
      <w:r w:rsidRPr="00817A34">
        <w:rPr>
          <w:b/>
          <w:bCs/>
        </w:rPr>
        <w:t>des emplois temporaires, les emplois mal rémunérés, notamment en créant des possibilités de travail décent garantissant la sécurité d’emploi et une protection adéquate des droits des travailleurs ;</w:t>
      </w:r>
    </w:p>
    <w:p w14:paraId="63CD729A" w14:textId="12DA93F8" w:rsidR="002141CB" w:rsidRPr="00817A34" w:rsidRDefault="002141CB" w:rsidP="00AB261D">
      <w:pPr>
        <w:pStyle w:val="SingleTxtG"/>
        <w:numPr>
          <w:ilvl w:val="0"/>
          <w:numId w:val="33"/>
        </w:numPr>
        <w:ind w:left="1134" w:firstLine="567"/>
        <w:rPr>
          <w:b/>
          <w:bCs/>
          <w:lang w:val="fr-FR"/>
        </w:rPr>
      </w:pPr>
      <w:r w:rsidRPr="00817A34">
        <w:rPr>
          <w:b/>
          <w:bCs/>
        </w:rPr>
        <w:t xml:space="preserve">De veiller à ce que le droit du travail et le droit à la sécurité sociale des personnes qui ont un emploi à temps partiel, un emploi mal rémunéré soient pleinement garantis en droit et dans la pratique, </w:t>
      </w:r>
    </w:p>
    <w:p w14:paraId="6617B215" w14:textId="2A31310F" w:rsidR="002141CB" w:rsidRPr="00817A34" w:rsidRDefault="002141CB" w:rsidP="00AB261D">
      <w:pPr>
        <w:pStyle w:val="SingleTxtG"/>
        <w:numPr>
          <w:ilvl w:val="0"/>
          <w:numId w:val="33"/>
        </w:numPr>
        <w:ind w:left="1134" w:firstLine="567"/>
        <w:rPr>
          <w:b/>
          <w:bCs/>
          <w:lang w:val="fr-FR"/>
        </w:rPr>
      </w:pPr>
      <w:r w:rsidRPr="00817A34">
        <w:rPr>
          <w:b/>
          <w:bCs/>
          <w:lang w:val="fr-FR"/>
        </w:rPr>
        <w:t>De renforcer l’inspection du travail, en la dotant des ressources matérielles, techniques et humaines suffisantes pour contrôler avec efficacité et impartialité les conditions de travail dans tous les secteurs</w:t>
      </w:r>
      <w:r w:rsidR="00182B67" w:rsidRPr="00817A34">
        <w:rPr>
          <w:b/>
          <w:bCs/>
          <w:lang w:val="fr-FR"/>
        </w:rPr>
        <w:t xml:space="preserve"> ; </w:t>
      </w:r>
    </w:p>
    <w:p w14:paraId="1ADDE338" w14:textId="169C0518" w:rsidR="00182B67" w:rsidRPr="00817A34" w:rsidRDefault="002141CB" w:rsidP="00AB261D">
      <w:pPr>
        <w:pStyle w:val="SingleTxtG"/>
        <w:numPr>
          <w:ilvl w:val="0"/>
          <w:numId w:val="33"/>
        </w:numPr>
        <w:ind w:left="1134" w:firstLine="567"/>
        <w:rPr>
          <w:b/>
          <w:bCs/>
          <w:lang w:val="fr-FR"/>
        </w:rPr>
      </w:pPr>
      <w:r w:rsidRPr="00817A34">
        <w:rPr>
          <w:b/>
          <w:bCs/>
        </w:rPr>
        <w:t xml:space="preserve"> </w:t>
      </w:r>
      <w:r w:rsidR="00182B67" w:rsidRPr="00817A34">
        <w:rPr>
          <w:b/>
          <w:bCs/>
          <w:lang w:val="fr-FR"/>
        </w:rPr>
        <w:t xml:space="preserve">De veiller à ce que les travailleurs aient accès à des mécanismes efficaces pour </w:t>
      </w:r>
      <w:r w:rsidR="00CC475A" w:rsidRPr="00817A34">
        <w:rPr>
          <w:b/>
          <w:bCs/>
          <w:lang w:val="fr-FR"/>
        </w:rPr>
        <w:t xml:space="preserve">dénoncer </w:t>
      </w:r>
      <w:r w:rsidR="00CC475A" w:rsidRPr="00817A34">
        <w:rPr>
          <w:b/>
          <w:bCs/>
        </w:rPr>
        <w:t>toute</w:t>
      </w:r>
      <w:r w:rsidR="00182B67" w:rsidRPr="00817A34">
        <w:rPr>
          <w:b/>
          <w:bCs/>
        </w:rPr>
        <w:t xml:space="preserve"> forme </w:t>
      </w:r>
      <w:r w:rsidR="00182B67" w:rsidRPr="00817A34">
        <w:rPr>
          <w:b/>
          <w:bCs/>
          <w:lang w:val="fr-FR"/>
        </w:rPr>
        <w:t>d’abus et d’exploitation ;</w:t>
      </w:r>
    </w:p>
    <w:p w14:paraId="590A5377" w14:textId="4B30BB49" w:rsidR="002141CB" w:rsidRPr="00817A34" w:rsidRDefault="00182B67" w:rsidP="00AB261D">
      <w:pPr>
        <w:pStyle w:val="SingleTxtG"/>
        <w:numPr>
          <w:ilvl w:val="0"/>
          <w:numId w:val="33"/>
        </w:numPr>
        <w:ind w:left="1134" w:firstLine="567"/>
        <w:rPr>
          <w:b/>
          <w:bCs/>
          <w:lang w:val="fr-FR"/>
        </w:rPr>
      </w:pPr>
      <w:r w:rsidRPr="00817A34">
        <w:rPr>
          <w:b/>
          <w:bCs/>
        </w:rPr>
        <w:t>De tenir compte de l‘observation</w:t>
      </w:r>
      <w:r w:rsidR="002141CB" w:rsidRPr="00817A34">
        <w:rPr>
          <w:b/>
          <w:bCs/>
        </w:rPr>
        <w:t xml:space="preserve"> générale n</w:t>
      </w:r>
      <w:r w:rsidRPr="00817A34">
        <w:rPr>
          <w:b/>
          <w:bCs/>
        </w:rPr>
        <w:t>°</w:t>
      </w:r>
      <w:r w:rsidR="002141CB" w:rsidRPr="00817A34">
        <w:rPr>
          <w:b/>
          <w:bCs/>
        </w:rPr>
        <w:t xml:space="preserve"> 23 (2016) concernant le droit à des conditions de travail justes et favorables.</w:t>
      </w:r>
      <w:r w:rsidR="001845BB" w:rsidRPr="00817A34">
        <w:rPr>
          <w:b/>
          <w:bCs/>
          <w:lang w:val="fr-FR"/>
        </w:rPr>
        <w:tab/>
      </w:r>
    </w:p>
    <w:p w14:paraId="2214FC8E" w14:textId="4F968FFA" w:rsidR="00182B67" w:rsidRPr="00817A34" w:rsidRDefault="00182B67" w:rsidP="00AB261D">
      <w:pPr>
        <w:pStyle w:val="H23G"/>
        <w:tabs>
          <w:tab w:val="clear" w:pos="720"/>
          <w:tab w:val="clear" w:pos="851"/>
        </w:tabs>
        <w:ind w:left="1134"/>
        <w:rPr>
          <w:b w:val="0"/>
          <w:bCs/>
        </w:rPr>
      </w:pPr>
      <w:r w:rsidRPr="00817A34">
        <w:rPr>
          <w:bCs/>
        </w:rPr>
        <w:t>Discrimination et harcèlement</w:t>
      </w:r>
    </w:p>
    <w:p w14:paraId="0536287F" w14:textId="64B3AEA1" w:rsidR="002141CB" w:rsidRPr="00817A34" w:rsidRDefault="00CE2668" w:rsidP="00182B67">
      <w:pPr>
        <w:pStyle w:val="SingleTxtG"/>
        <w:rPr>
          <w:b/>
          <w:bCs/>
          <w:lang w:val="fr-FR"/>
        </w:rPr>
      </w:pPr>
      <w:r w:rsidRPr="00817A34">
        <w:rPr>
          <w:lang w:val="fr-FR"/>
        </w:rPr>
        <w:t>2</w:t>
      </w:r>
      <w:r>
        <w:rPr>
          <w:lang w:val="fr-FR"/>
        </w:rPr>
        <w:t>6</w:t>
      </w:r>
      <w:r w:rsidR="00182B67" w:rsidRPr="00817A34">
        <w:rPr>
          <w:lang w:val="fr-FR"/>
        </w:rPr>
        <w:t>.</w:t>
      </w:r>
      <w:r w:rsidR="00182B67" w:rsidRPr="00817A34">
        <w:rPr>
          <w:lang w:val="fr-FR"/>
        </w:rPr>
        <w:tab/>
      </w:r>
      <w:r w:rsidR="00D42B5C" w:rsidRPr="00817A34">
        <w:rPr>
          <w:lang w:val="fr-FR"/>
        </w:rPr>
        <w:t xml:space="preserve">Le Comité </w:t>
      </w:r>
      <w:r w:rsidR="00182B67" w:rsidRPr="00817A34">
        <w:rPr>
          <w:lang w:val="fr-FR"/>
        </w:rPr>
        <w:t xml:space="preserve">se félicite de </w:t>
      </w:r>
      <w:r w:rsidR="00797691">
        <w:rPr>
          <w:lang w:val="fr-FR"/>
        </w:rPr>
        <w:t>la ratification</w:t>
      </w:r>
      <w:r w:rsidR="00182B67" w:rsidRPr="00817A34">
        <w:rPr>
          <w:lang w:val="fr-FR"/>
        </w:rPr>
        <w:t xml:space="preserve"> par l’</w:t>
      </w:r>
      <w:r w:rsidR="00797691">
        <w:rPr>
          <w:lang w:val="fr-FR"/>
        </w:rPr>
        <w:t>É</w:t>
      </w:r>
      <w:r w:rsidR="00182B67" w:rsidRPr="00817A34">
        <w:rPr>
          <w:lang w:val="fr-FR"/>
        </w:rPr>
        <w:t>tat partie de la Convention 190 de l’Organisation Internationale du Travail concernant</w:t>
      </w:r>
      <w:r w:rsidR="00182B67" w:rsidRPr="00817A34">
        <w:t xml:space="preserve"> la violence et le harcèlement dans le monde du travail. Le Comité </w:t>
      </w:r>
      <w:r w:rsidR="00D42B5C" w:rsidRPr="00817A34">
        <w:rPr>
          <w:lang w:val="fr-FR"/>
        </w:rPr>
        <w:t>s'inquiète</w:t>
      </w:r>
      <w:r w:rsidR="00182B67" w:rsidRPr="00817A34">
        <w:rPr>
          <w:lang w:val="fr-FR"/>
        </w:rPr>
        <w:t>, néanmoins,</w:t>
      </w:r>
      <w:r w:rsidR="00D42B5C" w:rsidRPr="00817A34">
        <w:rPr>
          <w:lang w:val="fr-FR"/>
        </w:rPr>
        <w:t xml:space="preserve"> de l'augmentation de</w:t>
      </w:r>
      <w:r w:rsidR="008729B6" w:rsidRPr="00817A34">
        <w:rPr>
          <w:lang w:val="fr-FR"/>
        </w:rPr>
        <w:t xml:space="preserve"> cas de</w:t>
      </w:r>
      <w:r w:rsidR="004C6F85" w:rsidRPr="00817A34">
        <w:rPr>
          <w:lang w:val="fr-FR"/>
        </w:rPr>
        <w:t xml:space="preserve"> </w:t>
      </w:r>
      <w:r w:rsidR="00D42B5C" w:rsidRPr="00817A34">
        <w:rPr>
          <w:lang w:val="fr-FR"/>
        </w:rPr>
        <w:t xml:space="preserve">discrimination </w:t>
      </w:r>
      <w:r w:rsidR="00182B67" w:rsidRPr="00817A34">
        <w:rPr>
          <w:lang w:val="fr-FR"/>
        </w:rPr>
        <w:t xml:space="preserve">et le harcèlement </w:t>
      </w:r>
      <w:r w:rsidR="00D42B5C" w:rsidRPr="00817A34">
        <w:rPr>
          <w:lang w:val="fr-FR"/>
        </w:rPr>
        <w:t xml:space="preserve">sur le lieu de travail </w:t>
      </w:r>
      <w:r w:rsidR="00182B67" w:rsidRPr="00817A34">
        <w:rPr>
          <w:lang w:val="fr-FR"/>
        </w:rPr>
        <w:t>en raison de l’orientation sexuelle et l’identité de genre</w:t>
      </w:r>
      <w:r w:rsidR="002141CB" w:rsidRPr="00817A34">
        <w:rPr>
          <w:lang w:val="fr-FR"/>
        </w:rPr>
        <w:t xml:space="preserve"> sur le lieu de travai</w:t>
      </w:r>
      <w:r w:rsidR="00182B67" w:rsidRPr="00817A34">
        <w:rPr>
          <w:lang w:val="fr-FR"/>
        </w:rPr>
        <w:t>l (art. 7).</w:t>
      </w:r>
    </w:p>
    <w:p w14:paraId="20F588FC" w14:textId="5C3F50D8" w:rsidR="00D42B5C" w:rsidRPr="00817A34" w:rsidRDefault="00CE2668" w:rsidP="00182B67">
      <w:pPr>
        <w:pStyle w:val="SingleTxtG"/>
        <w:rPr>
          <w:b/>
          <w:bCs/>
          <w:lang w:val="fr-FR"/>
        </w:rPr>
      </w:pPr>
      <w:r w:rsidRPr="00817A34">
        <w:rPr>
          <w:b/>
          <w:bCs/>
          <w:lang w:val="fr-FR"/>
        </w:rPr>
        <w:t>2</w:t>
      </w:r>
      <w:r>
        <w:rPr>
          <w:b/>
          <w:bCs/>
          <w:lang w:val="fr-FR"/>
        </w:rPr>
        <w:t>7</w:t>
      </w:r>
      <w:r w:rsidR="00182B67" w:rsidRPr="00817A34">
        <w:rPr>
          <w:b/>
          <w:bCs/>
          <w:lang w:val="fr-FR"/>
        </w:rPr>
        <w:t>.</w:t>
      </w:r>
      <w:r w:rsidR="00182B67" w:rsidRPr="00817A34">
        <w:rPr>
          <w:b/>
          <w:bCs/>
          <w:lang w:val="fr-FR"/>
        </w:rPr>
        <w:tab/>
        <w:t>Le Comité recommande à l’</w:t>
      </w:r>
      <w:r w:rsidR="00797691">
        <w:rPr>
          <w:b/>
          <w:bCs/>
          <w:lang w:val="fr-FR"/>
        </w:rPr>
        <w:t>É</w:t>
      </w:r>
      <w:r w:rsidR="00182B67" w:rsidRPr="00817A34">
        <w:rPr>
          <w:b/>
          <w:bCs/>
          <w:lang w:val="fr-FR"/>
        </w:rPr>
        <w:t xml:space="preserve">tat partie de </w:t>
      </w:r>
      <w:r w:rsidR="002141CB" w:rsidRPr="00817A34">
        <w:rPr>
          <w:b/>
          <w:bCs/>
          <w:lang w:val="fr-FR"/>
        </w:rPr>
        <w:t xml:space="preserve">redoubler d’efforts pour faire appliquer </w:t>
      </w:r>
      <w:r w:rsidR="008729B6" w:rsidRPr="00817A34">
        <w:rPr>
          <w:b/>
          <w:bCs/>
          <w:lang w:val="fr-FR"/>
        </w:rPr>
        <w:t>l</w:t>
      </w:r>
      <w:r w:rsidR="002141CB" w:rsidRPr="00817A34">
        <w:rPr>
          <w:b/>
          <w:bCs/>
          <w:lang w:val="fr-FR"/>
        </w:rPr>
        <w:t xml:space="preserve">a législation relative à </w:t>
      </w:r>
      <w:r w:rsidR="00067084" w:rsidRPr="00817A34">
        <w:rPr>
          <w:b/>
          <w:bCs/>
          <w:lang w:val="fr-FR"/>
        </w:rPr>
        <w:t xml:space="preserve">la discrimination et à </w:t>
      </w:r>
      <w:r w:rsidR="002141CB" w:rsidRPr="00817A34">
        <w:rPr>
          <w:b/>
          <w:bCs/>
          <w:lang w:val="fr-FR"/>
        </w:rPr>
        <w:t>la prévention du harcèlement sur le lieu de travail</w:t>
      </w:r>
      <w:r w:rsidR="00182B67" w:rsidRPr="00817A34">
        <w:rPr>
          <w:b/>
          <w:bCs/>
          <w:lang w:val="fr-FR"/>
        </w:rPr>
        <w:t xml:space="preserve">, ainsi que la Convention 190 de l’Organisation Internationale du Travail </w:t>
      </w:r>
      <w:r w:rsidR="00D64769">
        <w:rPr>
          <w:b/>
          <w:bCs/>
          <w:lang w:val="fr-FR"/>
        </w:rPr>
        <w:t>sur</w:t>
      </w:r>
      <w:r w:rsidR="00D64769" w:rsidRPr="00817A34">
        <w:rPr>
          <w:b/>
          <w:bCs/>
        </w:rPr>
        <w:t xml:space="preserve"> </w:t>
      </w:r>
      <w:r w:rsidR="00182B67" w:rsidRPr="00817A34">
        <w:rPr>
          <w:b/>
          <w:bCs/>
        </w:rPr>
        <w:t>la violence et le harcèlement dans le monde du travail</w:t>
      </w:r>
      <w:r w:rsidR="002141CB" w:rsidRPr="00817A34">
        <w:rPr>
          <w:b/>
          <w:bCs/>
          <w:lang w:val="fr-FR"/>
        </w:rPr>
        <w:t xml:space="preserve"> et accorder aux victimes un recours utile. </w:t>
      </w:r>
    </w:p>
    <w:p w14:paraId="2BD471F9" w14:textId="67999FC3" w:rsidR="00EC47B1" w:rsidRPr="00817A34" w:rsidRDefault="00EC47B1" w:rsidP="00AB261D">
      <w:pPr>
        <w:pStyle w:val="H23G"/>
        <w:tabs>
          <w:tab w:val="clear" w:pos="720"/>
          <w:tab w:val="clear" w:pos="851"/>
        </w:tabs>
        <w:ind w:left="1134"/>
      </w:pPr>
      <w:r w:rsidRPr="00817A34">
        <w:t xml:space="preserve">Droits syndicaux </w:t>
      </w:r>
    </w:p>
    <w:p w14:paraId="57C0EF39" w14:textId="2490743D" w:rsidR="001845BB" w:rsidRPr="00817A34" w:rsidRDefault="00CE2668" w:rsidP="001845BB">
      <w:pPr>
        <w:pStyle w:val="SingleTxtG"/>
        <w:tabs>
          <w:tab w:val="left" w:pos="1701"/>
          <w:tab w:val="left" w:pos="2268"/>
        </w:tabs>
        <w:suppressAutoHyphens w:val="0"/>
        <w:kinsoku/>
        <w:overflowPunct/>
        <w:autoSpaceDE/>
        <w:autoSpaceDN/>
        <w:adjustRightInd/>
        <w:snapToGrid/>
        <w:ind w:left="1080"/>
        <w:rPr>
          <w:b/>
          <w:lang w:val="fr-FR"/>
        </w:rPr>
      </w:pPr>
      <w:r w:rsidRPr="00817A34">
        <w:rPr>
          <w:lang w:val="fr-FR"/>
        </w:rPr>
        <w:t>2</w:t>
      </w:r>
      <w:r>
        <w:rPr>
          <w:lang w:val="fr-FR"/>
        </w:rPr>
        <w:t>8</w:t>
      </w:r>
      <w:r w:rsidR="00EC47B1" w:rsidRPr="00817A34">
        <w:rPr>
          <w:lang w:val="fr-FR"/>
        </w:rPr>
        <w:t xml:space="preserve">. </w:t>
      </w:r>
      <w:r w:rsidR="00EC47B1" w:rsidRPr="00817A34">
        <w:rPr>
          <w:lang w:val="fr-FR"/>
        </w:rPr>
        <w:tab/>
      </w:r>
      <w:r w:rsidR="001845BB" w:rsidRPr="00817A34">
        <w:rPr>
          <w:lang w:val="fr-FR"/>
        </w:rPr>
        <w:t xml:space="preserve">Le Comité est préoccupé par les nombreuses informations selon lesquelles des dirigeants syndicaux et des travailleurs sont victimes d’actes de violence, de harcèlement, d’intimidation et de discrimination dans le cadre de l’exercice de leurs droits syndicaux. </w:t>
      </w:r>
      <w:r w:rsidR="00882053" w:rsidRPr="00817A34">
        <w:rPr>
          <w:lang w:val="fr-FR"/>
        </w:rPr>
        <w:t xml:space="preserve">Le Comité constate avec préoccupation que dans le cadre de la réforme des retraites de nombreuses </w:t>
      </w:r>
      <w:r w:rsidR="00882053" w:rsidRPr="00817A34">
        <w:rPr>
          <w:lang w:val="fr-FR"/>
        </w:rPr>
        <w:lastRenderedPageBreak/>
        <w:t xml:space="preserve">manifestations </w:t>
      </w:r>
      <w:r w:rsidR="001179CA" w:rsidRPr="00817A34">
        <w:rPr>
          <w:lang w:val="fr-FR"/>
        </w:rPr>
        <w:t xml:space="preserve">pacifiques </w:t>
      </w:r>
      <w:r w:rsidR="00882053" w:rsidRPr="00817A34">
        <w:rPr>
          <w:lang w:val="fr-FR"/>
        </w:rPr>
        <w:t xml:space="preserve">organisées par des syndicats ont été interdites et d’autres ont </w:t>
      </w:r>
      <w:r w:rsidR="00D64769">
        <w:rPr>
          <w:lang w:val="fr-FR"/>
        </w:rPr>
        <w:t xml:space="preserve">été </w:t>
      </w:r>
      <w:r w:rsidR="00882053" w:rsidRPr="00817A34">
        <w:rPr>
          <w:lang w:val="fr-FR"/>
        </w:rPr>
        <w:t>réprimées par la force</w:t>
      </w:r>
      <w:r w:rsidR="001845BB" w:rsidRPr="00817A34">
        <w:rPr>
          <w:lang w:val="fr-FR"/>
        </w:rPr>
        <w:t xml:space="preserve"> (art. 8).</w:t>
      </w:r>
    </w:p>
    <w:p w14:paraId="1FA64E54" w14:textId="4E32FD2E" w:rsidR="001845BB" w:rsidRPr="00817A34" w:rsidRDefault="00CE2668" w:rsidP="001845BB">
      <w:pPr>
        <w:pStyle w:val="SingleTxtG"/>
        <w:tabs>
          <w:tab w:val="left" w:pos="1701"/>
          <w:tab w:val="left" w:pos="2268"/>
        </w:tabs>
        <w:suppressAutoHyphens w:val="0"/>
        <w:kinsoku/>
        <w:overflowPunct/>
        <w:autoSpaceDE/>
        <w:autoSpaceDN/>
        <w:adjustRightInd/>
        <w:snapToGrid/>
        <w:ind w:left="1080"/>
        <w:rPr>
          <w:b/>
          <w:lang w:val="fr-FR"/>
        </w:rPr>
      </w:pPr>
      <w:r w:rsidRPr="00817A34">
        <w:rPr>
          <w:lang w:val="fr-FR"/>
        </w:rPr>
        <w:t>2</w:t>
      </w:r>
      <w:r>
        <w:rPr>
          <w:lang w:val="fr-FR"/>
        </w:rPr>
        <w:t>9</w:t>
      </w:r>
      <w:r w:rsidR="001845BB" w:rsidRPr="00817A34">
        <w:rPr>
          <w:lang w:val="fr-FR"/>
        </w:rPr>
        <w:t>.</w:t>
      </w:r>
      <w:r w:rsidR="001845BB" w:rsidRPr="00817A34">
        <w:rPr>
          <w:lang w:val="fr-FR"/>
        </w:rPr>
        <w:tab/>
      </w:r>
      <w:r w:rsidR="001845BB" w:rsidRPr="00817A34">
        <w:rPr>
          <w:b/>
          <w:lang w:val="fr-FR"/>
        </w:rPr>
        <w:t xml:space="preserve">Le Comité </w:t>
      </w:r>
      <w:r w:rsidR="00360735" w:rsidRPr="00817A34">
        <w:rPr>
          <w:b/>
          <w:lang w:val="fr-FR"/>
        </w:rPr>
        <w:t xml:space="preserve">réitère </w:t>
      </w:r>
      <w:r w:rsidR="001845BB" w:rsidRPr="00817A34">
        <w:rPr>
          <w:b/>
          <w:lang w:val="fr-FR"/>
        </w:rPr>
        <w:t>sa recommandation précédente</w:t>
      </w:r>
      <w:r w:rsidR="001C7871" w:rsidRPr="00817A34">
        <w:rPr>
          <w:rStyle w:val="Appelnotedebasdep"/>
          <w:b/>
        </w:rPr>
        <w:footnoteReference w:id="10"/>
      </w:r>
      <w:r w:rsidR="001845BB" w:rsidRPr="00817A34">
        <w:rPr>
          <w:b/>
          <w:lang w:val="fr-FR"/>
        </w:rPr>
        <w:t xml:space="preserve"> et exhorte l’État partie à prendre toutes les mesures nécessaires pour faire en sorte que les droits syndicaux des travailleurs </w:t>
      </w:r>
      <w:r w:rsidR="004C6F85" w:rsidRPr="00817A34">
        <w:rPr>
          <w:b/>
          <w:lang w:val="fr-FR"/>
        </w:rPr>
        <w:t xml:space="preserve">et travailleuses </w:t>
      </w:r>
      <w:r w:rsidR="001845BB" w:rsidRPr="00817A34">
        <w:rPr>
          <w:b/>
          <w:lang w:val="fr-FR"/>
        </w:rPr>
        <w:t>soient pleinement respectés et que les syndicalistes et les dirigeants syndicaux puissent exercer leurs activités dans un climat exempt d’intimidation, de violence, de harcèlement et de risque pour leur sécurité.</w:t>
      </w:r>
      <w:r w:rsidR="00360735" w:rsidRPr="00817A34">
        <w:rPr>
          <w:b/>
          <w:lang w:val="fr-FR"/>
        </w:rPr>
        <w:t xml:space="preserve"> Le Comité recommande à l’</w:t>
      </w:r>
      <w:r w:rsidR="00797691">
        <w:rPr>
          <w:b/>
          <w:lang w:val="fr-FR"/>
        </w:rPr>
        <w:t>É</w:t>
      </w:r>
      <w:r w:rsidR="00360735" w:rsidRPr="00817A34">
        <w:rPr>
          <w:b/>
          <w:lang w:val="fr-FR"/>
        </w:rPr>
        <w:t>tat partie de mener des enquêtes sur les cas d’usage excessi</w:t>
      </w:r>
      <w:r w:rsidR="00402C98">
        <w:rPr>
          <w:b/>
          <w:lang w:val="fr-FR"/>
        </w:rPr>
        <w:t>f</w:t>
      </w:r>
      <w:r w:rsidR="00360735" w:rsidRPr="00817A34">
        <w:rPr>
          <w:b/>
          <w:lang w:val="fr-FR"/>
        </w:rPr>
        <w:t xml:space="preserve"> de la force par </w:t>
      </w:r>
      <w:r w:rsidR="00402C98">
        <w:rPr>
          <w:b/>
          <w:lang w:val="fr-FR"/>
        </w:rPr>
        <w:t>d</w:t>
      </w:r>
      <w:r w:rsidR="00402C98" w:rsidRPr="00817A34">
        <w:rPr>
          <w:b/>
          <w:lang w:val="fr-FR"/>
        </w:rPr>
        <w:t xml:space="preserve">es </w:t>
      </w:r>
      <w:r w:rsidR="00360735" w:rsidRPr="00817A34">
        <w:rPr>
          <w:b/>
          <w:lang w:val="fr-FR"/>
        </w:rPr>
        <w:t>agents de</w:t>
      </w:r>
      <w:r w:rsidR="00F96814">
        <w:rPr>
          <w:b/>
          <w:lang w:val="fr-FR"/>
        </w:rPr>
        <w:t>s</w:t>
      </w:r>
      <w:r w:rsidR="00360735" w:rsidRPr="00817A34">
        <w:rPr>
          <w:b/>
          <w:lang w:val="fr-FR"/>
        </w:rPr>
        <w:t xml:space="preserve"> forces de l’ordre à l’encontre des membres syndicaux qui ont participé dans les récentes manifestations </w:t>
      </w:r>
      <w:r w:rsidR="0006158A" w:rsidRPr="00817A34">
        <w:rPr>
          <w:b/>
          <w:lang w:val="fr-FR"/>
        </w:rPr>
        <w:t xml:space="preserve">pacifiques </w:t>
      </w:r>
      <w:r w:rsidR="00360735" w:rsidRPr="00817A34">
        <w:rPr>
          <w:b/>
          <w:lang w:val="fr-FR"/>
        </w:rPr>
        <w:t>organisées dans le cadre de la réforme des retraites, et de traduire en justice les responsables.</w:t>
      </w:r>
    </w:p>
    <w:p w14:paraId="278F2AE9" w14:textId="343F404C" w:rsidR="00EC47B1" w:rsidRPr="00817A34" w:rsidRDefault="00EC47B1" w:rsidP="00AB261D">
      <w:pPr>
        <w:pStyle w:val="H23G"/>
        <w:tabs>
          <w:tab w:val="clear" w:pos="720"/>
          <w:tab w:val="clear" w:pos="851"/>
        </w:tabs>
        <w:ind w:left="1134"/>
      </w:pPr>
      <w:r w:rsidRPr="00817A34">
        <w:t xml:space="preserve">Sécurité sociale </w:t>
      </w:r>
    </w:p>
    <w:p w14:paraId="3A6DE72A" w14:textId="5FE3A90F" w:rsidR="00EC47B1" w:rsidRPr="00817A34" w:rsidRDefault="00CE2668" w:rsidP="0067135B">
      <w:pPr>
        <w:pStyle w:val="SingleTxtG"/>
        <w:tabs>
          <w:tab w:val="left" w:pos="720"/>
        </w:tabs>
        <w:rPr>
          <w:lang w:val="fr-FR"/>
        </w:rPr>
      </w:pPr>
      <w:r>
        <w:rPr>
          <w:lang w:val="fr-FR"/>
        </w:rPr>
        <w:t>30</w:t>
      </w:r>
      <w:r w:rsidR="00EC47B1" w:rsidRPr="00817A34">
        <w:rPr>
          <w:lang w:val="fr-FR"/>
        </w:rPr>
        <w:t xml:space="preserve">. </w:t>
      </w:r>
      <w:r w:rsidR="00EC47B1" w:rsidRPr="00817A34">
        <w:rPr>
          <w:lang w:val="fr-FR"/>
        </w:rPr>
        <w:tab/>
        <w:t xml:space="preserve">Le Comité </w:t>
      </w:r>
      <w:r w:rsidR="00FA766E" w:rsidRPr="00817A34">
        <w:rPr>
          <w:lang w:val="fr-FR"/>
        </w:rPr>
        <w:t>constate avec préoccupation</w:t>
      </w:r>
      <w:r w:rsidR="00834E31" w:rsidRPr="00817A34">
        <w:rPr>
          <w:lang w:val="fr-FR"/>
        </w:rPr>
        <w:t xml:space="preserve"> que</w:t>
      </w:r>
      <w:r w:rsidR="00FA766E" w:rsidRPr="00817A34">
        <w:rPr>
          <w:lang w:val="fr-FR"/>
        </w:rPr>
        <w:t xml:space="preserve"> l</w:t>
      </w:r>
      <w:r w:rsidR="00834E31" w:rsidRPr="00817A34">
        <w:rPr>
          <w:lang w:val="fr-FR"/>
        </w:rPr>
        <w:t xml:space="preserve">a </w:t>
      </w:r>
      <w:r w:rsidR="00FA766E" w:rsidRPr="00817A34">
        <w:rPr>
          <w:lang w:val="fr-FR"/>
        </w:rPr>
        <w:t xml:space="preserve">récente réforme </w:t>
      </w:r>
      <w:r w:rsidR="0067135B">
        <w:rPr>
          <w:lang w:val="fr-FR"/>
        </w:rPr>
        <w:t>de</w:t>
      </w:r>
      <w:r w:rsidR="0067135B" w:rsidRPr="00817A34">
        <w:rPr>
          <w:lang w:val="fr-FR"/>
        </w:rPr>
        <w:t xml:space="preserve"> </w:t>
      </w:r>
      <w:r w:rsidR="00FA766E" w:rsidRPr="00817A34">
        <w:rPr>
          <w:lang w:val="fr-FR"/>
        </w:rPr>
        <w:t>l’assurance chômage</w:t>
      </w:r>
      <w:r w:rsidR="00834E31" w:rsidRPr="00817A34">
        <w:rPr>
          <w:lang w:val="fr-FR"/>
        </w:rPr>
        <w:t xml:space="preserve"> qui prévoit un durcissement des règles d’indemnisation, y compris la réduction du temps d’indemnisation</w:t>
      </w:r>
      <w:r w:rsidR="0006158A" w:rsidRPr="00817A34">
        <w:rPr>
          <w:lang w:val="fr-FR"/>
        </w:rPr>
        <w:t>,</w:t>
      </w:r>
      <w:r w:rsidR="00834E31" w:rsidRPr="00817A34">
        <w:rPr>
          <w:lang w:val="fr-FR"/>
        </w:rPr>
        <w:t xml:space="preserve"> a été introduite dans un contexte </w:t>
      </w:r>
      <w:r w:rsidR="0046010D" w:rsidRPr="00817A34">
        <w:rPr>
          <w:lang w:val="fr-FR"/>
        </w:rPr>
        <w:t xml:space="preserve">de forte inflation </w:t>
      </w:r>
      <w:r w:rsidR="0067135B" w:rsidRPr="009C1666">
        <w:rPr>
          <w:lang w:val="fr-FR"/>
        </w:rPr>
        <w:t xml:space="preserve">qui a </w:t>
      </w:r>
      <w:r w:rsidR="0061500E" w:rsidRPr="009C1666">
        <w:rPr>
          <w:lang w:val="fr-FR"/>
        </w:rPr>
        <w:t>entraîné</w:t>
      </w:r>
      <w:r w:rsidR="0067135B" w:rsidRPr="009C1666">
        <w:rPr>
          <w:lang w:val="fr-FR"/>
        </w:rPr>
        <w:t xml:space="preserve"> une grande partie de la population dans la précarité</w:t>
      </w:r>
      <w:r w:rsidR="0046010D" w:rsidRPr="00817A34">
        <w:rPr>
          <w:lang w:val="fr-FR"/>
        </w:rPr>
        <w:t xml:space="preserve">. Le Comité est également préoccupé par la réforme des retraites qui </w:t>
      </w:r>
      <w:r w:rsidR="00882053" w:rsidRPr="00817A34">
        <w:rPr>
          <w:lang w:val="fr-FR"/>
        </w:rPr>
        <w:t>n’a pas fait l’objet d’un débat au sein de l’Assemblée nationale</w:t>
      </w:r>
      <w:r w:rsidR="00834E31" w:rsidRPr="00817A34">
        <w:rPr>
          <w:lang w:val="fr-FR"/>
        </w:rPr>
        <w:t xml:space="preserve">. </w:t>
      </w:r>
      <w:r w:rsidR="00882053" w:rsidRPr="00817A34">
        <w:rPr>
          <w:lang w:val="fr-FR"/>
        </w:rPr>
        <w:t>Le Comité relève avec préoccupation que cette réforme aurait un impact négatif sur les personnes plus défavorisées,</w:t>
      </w:r>
      <w:r w:rsidR="00402C98">
        <w:rPr>
          <w:lang w:val="fr-FR"/>
        </w:rPr>
        <w:t xml:space="preserve"> et en particulier </w:t>
      </w:r>
      <w:r w:rsidR="00882053" w:rsidRPr="00817A34">
        <w:rPr>
          <w:lang w:val="fr-FR"/>
        </w:rPr>
        <w:t>sur les femmes</w:t>
      </w:r>
      <w:r w:rsidR="00402C98">
        <w:rPr>
          <w:lang w:val="fr-FR"/>
        </w:rPr>
        <w:t xml:space="preserve"> en raison de leur parcours professionnel</w:t>
      </w:r>
      <w:r w:rsidR="00882053" w:rsidRPr="00817A34">
        <w:rPr>
          <w:lang w:val="fr-FR"/>
        </w:rPr>
        <w:t xml:space="preserve"> (art. 9)</w:t>
      </w:r>
    </w:p>
    <w:p w14:paraId="0ED73661" w14:textId="7ABE11B7" w:rsidR="005772EE" w:rsidRDefault="00CE2668" w:rsidP="00BE4008">
      <w:pPr>
        <w:pStyle w:val="SingleTxtG"/>
        <w:tabs>
          <w:tab w:val="left" w:pos="720"/>
        </w:tabs>
        <w:rPr>
          <w:b/>
          <w:bCs/>
          <w:lang w:val="fr-FR"/>
        </w:rPr>
      </w:pPr>
      <w:r>
        <w:rPr>
          <w:lang w:val="fr-FR"/>
        </w:rPr>
        <w:t>31</w:t>
      </w:r>
      <w:r w:rsidR="00EC47B1" w:rsidRPr="00817A34">
        <w:rPr>
          <w:lang w:val="fr-FR"/>
        </w:rPr>
        <w:t xml:space="preserve">. </w:t>
      </w:r>
      <w:r w:rsidR="00EC47B1" w:rsidRPr="00817A34">
        <w:rPr>
          <w:lang w:val="fr-FR"/>
        </w:rPr>
        <w:tab/>
      </w:r>
      <w:r w:rsidR="00EC47B1" w:rsidRPr="00817A34">
        <w:rPr>
          <w:b/>
          <w:bCs/>
          <w:lang w:val="fr-FR"/>
        </w:rPr>
        <w:t xml:space="preserve">Le Comité </w:t>
      </w:r>
      <w:r w:rsidR="0057404C" w:rsidRPr="00817A34">
        <w:rPr>
          <w:b/>
          <w:bCs/>
          <w:lang w:val="fr-FR"/>
        </w:rPr>
        <w:t>exhorte l</w:t>
      </w:r>
      <w:r w:rsidR="00EC47B1" w:rsidRPr="00817A34">
        <w:rPr>
          <w:b/>
          <w:bCs/>
          <w:lang w:val="fr-FR"/>
        </w:rPr>
        <w:t>’État parti</w:t>
      </w:r>
      <w:r w:rsidR="008460F4" w:rsidRPr="00817A34">
        <w:rPr>
          <w:b/>
          <w:bCs/>
          <w:lang w:val="fr-FR"/>
        </w:rPr>
        <w:t xml:space="preserve">e </w:t>
      </w:r>
      <w:r w:rsidR="0057404C" w:rsidRPr="00817A34">
        <w:rPr>
          <w:b/>
          <w:bCs/>
          <w:lang w:val="fr-FR"/>
        </w:rPr>
        <w:t>à</w:t>
      </w:r>
      <w:r w:rsidR="008460F4" w:rsidRPr="00817A34">
        <w:rPr>
          <w:b/>
          <w:bCs/>
          <w:lang w:val="fr-FR"/>
        </w:rPr>
        <w:t xml:space="preserve"> mener</w:t>
      </w:r>
      <w:r w:rsidR="0057404C" w:rsidRPr="00817A34">
        <w:rPr>
          <w:b/>
          <w:bCs/>
          <w:lang w:val="fr-FR"/>
        </w:rPr>
        <w:t xml:space="preserve">, avec la participation des </w:t>
      </w:r>
      <w:r w:rsidR="00067084" w:rsidRPr="00817A34">
        <w:rPr>
          <w:b/>
          <w:bCs/>
          <w:lang w:val="fr-FR"/>
        </w:rPr>
        <w:t xml:space="preserve">partenaires </w:t>
      </w:r>
      <w:r w:rsidR="0057404C" w:rsidRPr="00817A34">
        <w:rPr>
          <w:b/>
          <w:bCs/>
          <w:lang w:val="fr-FR"/>
        </w:rPr>
        <w:t>sociaux</w:t>
      </w:r>
      <w:r w:rsidR="00067084" w:rsidRPr="00817A34">
        <w:rPr>
          <w:b/>
          <w:bCs/>
          <w:lang w:val="fr-FR"/>
        </w:rPr>
        <w:t xml:space="preserve"> </w:t>
      </w:r>
      <w:r w:rsidR="0057404C" w:rsidRPr="00817A34">
        <w:rPr>
          <w:b/>
          <w:bCs/>
          <w:lang w:val="fr-FR"/>
        </w:rPr>
        <w:t>et de la société civile</w:t>
      </w:r>
      <w:r w:rsidR="009C1666">
        <w:rPr>
          <w:b/>
          <w:bCs/>
          <w:lang w:val="fr-FR"/>
        </w:rPr>
        <w:t>,</w:t>
      </w:r>
      <w:r w:rsidR="008460F4" w:rsidRPr="00817A34">
        <w:rPr>
          <w:b/>
          <w:bCs/>
          <w:lang w:val="fr-FR"/>
        </w:rPr>
        <w:t xml:space="preserve"> une évaluation</w:t>
      </w:r>
      <w:r w:rsidR="0057404C" w:rsidRPr="00817A34">
        <w:rPr>
          <w:b/>
          <w:bCs/>
          <w:lang w:val="fr-FR"/>
        </w:rPr>
        <w:t xml:space="preserve"> exhaustive</w:t>
      </w:r>
      <w:r w:rsidR="008460F4" w:rsidRPr="00817A34">
        <w:rPr>
          <w:b/>
          <w:bCs/>
          <w:lang w:val="fr-FR"/>
        </w:rPr>
        <w:t xml:space="preserve"> des effets des récentes réformes </w:t>
      </w:r>
      <w:r w:rsidR="0067135B">
        <w:rPr>
          <w:b/>
          <w:bCs/>
          <w:lang w:val="fr-FR"/>
        </w:rPr>
        <w:t>de</w:t>
      </w:r>
      <w:r w:rsidR="0067135B" w:rsidRPr="00817A34">
        <w:rPr>
          <w:b/>
          <w:bCs/>
          <w:lang w:val="fr-FR"/>
        </w:rPr>
        <w:t xml:space="preserve"> </w:t>
      </w:r>
      <w:r w:rsidR="008460F4" w:rsidRPr="00817A34">
        <w:rPr>
          <w:b/>
          <w:bCs/>
          <w:lang w:val="fr-FR"/>
        </w:rPr>
        <w:t>l’assurance chômage et</w:t>
      </w:r>
      <w:r w:rsidR="0067135B">
        <w:rPr>
          <w:b/>
          <w:bCs/>
          <w:lang w:val="fr-FR"/>
        </w:rPr>
        <w:t xml:space="preserve"> de</w:t>
      </w:r>
      <w:r w:rsidR="009C1666">
        <w:rPr>
          <w:b/>
          <w:bCs/>
          <w:lang w:val="fr-FR"/>
        </w:rPr>
        <w:t xml:space="preserve">s </w:t>
      </w:r>
      <w:r w:rsidR="008460F4" w:rsidRPr="00817A34">
        <w:rPr>
          <w:b/>
          <w:bCs/>
          <w:lang w:val="fr-FR"/>
        </w:rPr>
        <w:t>retraite</w:t>
      </w:r>
      <w:r w:rsidR="009C1666">
        <w:rPr>
          <w:b/>
          <w:bCs/>
          <w:lang w:val="fr-FR"/>
        </w:rPr>
        <w:t xml:space="preserve">s </w:t>
      </w:r>
      <w:r w:rsidR="0057404C" w:rsidRPr="00817A34">
        <w:rPr>
          <w:b/>
          <w:bCs/>
          <w:lang w:val="fr-FR"/>
        </w:rPr>
        <w:t>sur les personnes plus défavorisées et affectées par cette réforme afin de prendre les mesures correctives nécessaires.</w:t>
      </w:r>
      <w:r w:rsidR="008460F4" w:rsidRPr="00817A34">
        <w:rPr>
          <w:b/>
          <w:bCs/>
          <w:lang w:val="fr-FR"/>
        </w:rPr>
        <w:t xml:space="preserve"> </w:t>
      </w:r>
      <w:r w:rsidR="0061500E">
        <w:rPr>
          <w:b/>
          <w:bCs/>
          <w:lang w:val="fr-FR"/>
        </w:rPr>
        <w:t>À</w:t>
      </w:r>
      <w:r w:rsidR="005772EE">
        <w:rPr>
          <w:b/>
          <w:bCs/>
          <w:lang w:val="fr-FR"/>
        </w:rPr>
        <w:t xml:space="preserve"> cet </w:t>
      </w:r>
      <w:r w:rsidR="00162B5A">
        <w:rPr>
          <w:b/>
          <w:bCs/>
          <w:lang w:val="fr-FR"/>
        </w:rPr>
        <w:t>effet</w:t>
      </w:r>
      <w:r w:rsidR="005772EE">
        <w:rPr>
          <w:b/>
          <w:bCs/>
          <w:lang w:val="fr-FR"/>
        </w:rPr>
        <w:t>, l</w:t>
      </w:r>
      <w:r w:rsidR="008460F4" w:rsidRPr="00817A34">
        <w:rPr>
          <w:b/>
          <w:bCs/>
          <w:lang w:val="fr-FR"/>
        </w:rPr>
        <w:t xml:space="preserve">e Comité </w:t>
      </w:r>
      <w:r w:rsidR="0057404C" w:rsidRPr="00817A34">
        <w:rPr>
          <w:b/>
          <w:bCs/>
          <w:lang w:val="fr-FR"/>
        </w:rPr>
        <w:t>recommande</w:t>
      </w:r>
      <w:r w:rsidR="008460F4" w:rsidRPr="00817A34">
        <w:rPr>
          <w:b/>
          <w:bCs/>
          <w:lang w:val="fr-FR"/>
        </w:rPr>
        <w:t xml:space="preserve"> à l’</w:t>
      </w:r>
      <w:r w:rsidR="0061500E" w:rsidRPr="00817A34">
        <w:rPr>
          <w:b/>
          <w:bCs/>
          <w:lang w:val="fr-FR"/>
        </w:rPr>
        <w:t>État</w:t>
      </w:r>
      <w:r w:rsidR="008460F4" w:rsidRPr="00817A34">
        <w:rPr>
          <w:b/>
          <w:bCs/>
          <w:lang w:val="fr-FR"/>
        </w:rPr>
        <w:t xml:space="preserve"> partie</w:t>
      </w:r>
      <w:r w:rsidR="005772EE">
        <w:rPr>
          <w:b/>
          <w:bCs/>
          <w:lang w:val="fr-FR"/>
        </w:rPr>
        <w:t> :</w:t>
      </w:r>
    </w:p>
    <w:p w14:paraId="5F2C6FB8" w14:textId="4B06B553" w:rsidR="005772EE" w:rsidRDefault="00D47782" w:rsidP="00BE4008">
      <w:pPr>
        <w:pStyle w:val="SingleTxtG"/>
        <w:tabs>
          <w:tab w:val="left" w:pos="720"/>
        </w:tabs>
      </w:pPr>
      <w:r>
        <w:rPr>
          <w:lang w:val="fr-FR"/>
        </w:rPr>
        <w:tab/>
      </w:r>
      <w:r>
        <w:rPr>
          <w:lang w:val="fr-FR"/>
        </w:rPr>
        <w:tab/>
      </w:r>
      <w:r w:rsidR="005772EE" w:rsidRPr="00797691">
        <w:rPr>
          <w:b/>
          <w:bCs/>
          <w:lang w:val="fr-FR"/>
        </w:rPr>
        <w:t>a)</w:t>
      </w:r>
      <w:r w:rsidR="008460F4" w:rsidRPr="00817A34">
        <w:rPr>
          <w:b/>
          <w:bCs/>
          <w:lang w:val="fr-FR"/>
        </w:rPr>
        <w:t xml:space="preserve"> </w:t>
      </w:r>
      <w:r>
        <w:rPr>
          <w:b/>
          <w:bCs/>
          <w:lang w:val="fr-FR"/>
        </w:rPr>
        <w:tab/>
      </w:r>
      <w:bookmarkStart w:id="0" w:name="_Hlk148096009"/>
      <w:r w:rsidR="005772EE">
        <w:rPr>
          <w:b/>
          <w:bCs/>
          <w:lang w:val="fr-FR"/>
        </w:rPr>
        <w:t>D</w:t>
      </w:r>
      <w:r w:rsidR="005772EE" w:rsidRPr="00817A34">
        <w:rPr>
          <w:b/>
          <w:bCs/>
          <w:lang w:val="fr-FR"/>
        </w:rPr>
        <w:t xml:space="preserve">e </w:t>
      </w:r>
      <w:r w:rsidR="008460F4" w:rsidRPr="00817A34">
        <w:rPr>
          <w:b/>
          <w:bCs/>
          <w:lang w:val="fr-FR"/>
        </w:rPr>
        <w:t xml:space="preserve">veiller à ce que, en cas de perte d’emploi, les travailleurs </w:t>
      </w:r>
      <w:r w:rsidR="00B4388B" w:rsidRPr="00817A34">
        <w:rPr>
          <w:b/>
          <w:bCs/>
          <w:lang w:val="fr-FR"/>
        </w:rPr>
        <w:t xml:space="preserve">et travailleuses </w:t>
      </w:r>
      <w:r w:rsidR="008460F4" w:rsidRPr="00817A34">
        <w:rPr>
          <w:b/>
          <w:bCs/>
          <w:lang w:val="fr-FR"/>
        </w:rPr>
        <w:t>aient accès à des</w:t>
      </w:r>
      <w:r w:rsidR="008460F4" w:rsidRPr="00817A34">
        <w:t> </w:t>
      </w:r>
      <w:r w:rsidR="008460F4" w:rsidRPr="00817A34">
        <w:rPr>
          <w:b/>
          <w:bCs/>
        </w:rPr>
        <w:t>prestations</w:t>
      </w:r>
      <w:r w:rsidR="00BA337E">
        <w:rPr>
          <w:b/>
          <w:bCs/>
        </w:rPr>
        <w:t xml:space="preserve"> de l’assurance chômage</w:t>
      </w:r>
      <w:r w:rsidR="008460F4" w:rsidRPr="00817A34">
        <w:rPr>
          <w:b/>
          <w:bCs/>
        </w:rPr>
        <w:t xml:space="preserve"> pendant une durée adéquate et</w:t>
      </w:r>
      <w:r w:rsidR="008460F4" w:rsidRPr="00817A34">
        <w:t xml:space="preserve"> </w:t>
      </w:r>
      <w:r w:rsidR="008460F4" w:rsidRPr="00817A34">
        <w:rPr>
          <w:b/>
          <w:bCs/>
        </w:rPr>
        <w:t>à la fin de la période en question</w:t>
      </w:r>
      <w:r w:rsidR="00BA337E">
        <w:rPr>
          <w:b/>
          <w:bCs/>
        </w:rPr>
        <w:t xml:space="preserve"> ils puissent</w:t>
      </w:r>
      <w:r w:rsidR="0057404C" w:rsidRPr="00817A34">
        <w:rPr>
          <w:b/>
          <w:bCs/>
        </w:rPr>
        <w:t xml:space="preserve"> </w:t>
      </w:r>
      <w:r w:rsidR="0067135B">
        <w:rPr>
          <w:b/>
          <w:bCs/>
        </w:rPr>
        <w:t>bénéficier d’</w:t>
      </w:r>
      <w:r w:rsidR="0057404C" w:rsidRPr="00817A34">
        <w:rPr>
          <w:b/>
          <w:bCs/>
        </w:rPr>
        <w:t xml:space="preserve">une protection de sécurité sociale </w:t>
      </w:r>
      <w:r w:rsidR="00BA337E" w:rsidRPr="00817A34">
        <w:rPr>
          <w:b/>
          <w:bCs/>
        </w:rPr>
        <w:t>appropriée</w:t>
      </w:r>
      <w:r w:rsidR="005772EE">
        <w:rPr>
          <w:b/>
          <w:bCs/>
        </w:rPr>
        <w:t> </w:t>
      </w:r>
      <w:r w:rsidR="005772EE">
        <w:t>;</w:t>
      </w:r>
    </w:p>
    <w:bookmarkEnd w:id="0"/>
    <w:p w14:paraId="1EF49312" w14:textId="16CDC07C" w:rsidR="00CF0469" w:rsidRDefault="00D47782" w:rsidP="00BE4008">
      <w:pPr>
        <w:pStyle w:val="SingleTxtG"/>
        <w:tabs>
          <w:tab w:val="left" w:pos="720"/>
        </w:tabs>
        <w:rPr>
          <w:b/>
          <w:bCs/>
        </w:rPr>
      </w:pPr>
      <w:r>
        <w:tab/>
      </w:r>
      <w:r>
        <w:tab/>
      </w:r>
      <w:r w:rsidR="005772EE" w:rsidRPr="00797691">
        <w:rPr>
          <w:b/>
          <w:bCs/>
        </w:rPr>
        <w:t>b)</w:t>
      </w:r>
      <w:r>
        <w:tab/>
      </w:r>
      <w:r w:rsidR="005772EE" w:rsidRPr="00D47782">
        <w:rPr>
          <w:b/>
          <w:bCs/>
        </w:rPr>
        <w:t>D</w:t>
      </w:r>
      <w:r w:rsidR="00171A62" w:rsidRPr="009C1666">
        <w:rPr>
          <w:b/>
          <w:bCs/>
        </w:rPr>
        <w:t xml:space="preserve">e </w:t>
      </w:r>
      <w:r w:rsidR="00BE4008">
        <w:rPr>
          <w:b/>
          <w:bCs/>
        </w:rPr>
        <w:t xml:space="preserve">prendre les mesures nécessaires afin d’éviter que la réforme </w:t>
      </w:r>
      <w:r w:rsidR="0067135B">
        <w:rPr>
          <w:b/>
          <w:bCs/>
        </w:rPr>
        <w:t>des retraites</w:t>
      </w:r>
      <w:r w:rsidR="00BE4008">
        <w:rPr>
          <w:b/>
          <w:bCs/>
        </w:rPr>
        <w:t xml:space="preserve"> impact</w:t>
      </w:r>
      <w:r w:rsidR="0067135B">
        <w:rPr>
          <w:b/>
          <w:bCs/>
        </w:rPr>
        <w:t>e</w:t>
      </w:r>
      <w:r w:rsidR="00BE4008">
        <w:rPr>
          <w:b/>
          <w:bCs/>
        </w:rPr>
        <w:t xml:space="preserve"> </w:t>
      </w:r>
      <w:r w:rsidR="0067135B">
        <w:rPr>
          <w:b/>
          <w:bCs/>
        </w:rPr>
        <w:t>de manière disproportionnée</w:t>
      </w:r>
      <w:r w:rsidR="009C1666">
        <w:rPr>
          <w:b/>
          <w:bCs/>
        </w:rPr>
        <w:t xml:space="preserve"> les travailleurs et travailleuses qui ont des conditions de travail plus précaires</w:t>
      </w:r>
      <w:r w:rsidR="000D463C">
        <w:rPr>
          <w:b/>
          <w:bCs/>
        </w:rPr>
        <w:t>, en particulier les femmes</w:t>
      </w:r>
      <w:r w:rsidR="00CF0469">
        <w:rPr>
          <w:b/>
          <w:bCs/>
        </w:rPr>
        <w:t xml:space="preserve"> ; </w:t>
      </w:r>
    </w:p>
    <w:p w14:paraId="5F32A4E2" w14:textId="68AB028F" w:rsidR="00CF0469" w:rsidRDefault="00D47782" w:rsidP="00BE4008">
      <w:pPr>
        <w:pStyle w:val="SingleTxtG"/>
        <w:tabs>
          <w:tab w:val="left" w:pos="720"/>
        </w:tabs>
        <w:rPr>
          <w:b/>
          <w:bCs/>
        </w:rPr>
      </w:pPr>
      <w:r>
        <w:rPr>
          <w:b/>
          <w:bCs/>
        </w:rPr>
        <w:tab/>
      </w:r>
      <w:r>
        <w:rPr>
          <w:b/>
          <w:bCs/>
        </w:rPr>
        <w:tab/>
      </w:r>
      <w:r w:rsidR="00CF0469">
        <w:rPr>
          <w:b/>
          <w:bCs/>
        </w:rPr>
        <w:t xml:space="preserve">c) </w:t>
      </w:r>
      <w:r>
        <w:rPr>
          <w:b/>
          <w:bCs/>
        </w:rPr>
        <w:tab/>
      </w:r>
      <w:r w:rsidR="00CF0469">
        <w:rPr>
          <w:b/>
          <w:bCs/>
        </w:rPr>
        <w:t>D</w:t>
      </w:r>
      <w:r w:rsidR="000D463C">
        <w:rPr>
          <w:b/>
          <w:bCs/>
        </w:rPr>
        <w:t xml:space="preserve">e veiller </w:t>
      </w:r>
      <w:r w:rsidR="0067135B">
        <w:rPr>
          <w:b/>
          <w:bCs/>
        </w:rPr>
        <w:t xml:space="preserve">à réduire </w:t>
      </w:r>
      <w:r w:rsidR="00BE4008">
        <w:rPr>
          <w:b/>
          <w:bCs/>
        </w:rPr>
        <w:t>l’écart des pensions entre les hommes et les femmes</w:t>
      </w:r>
      <w:r w:rsidR="000D463C">
        <w:rPr>
          <w:b/>
          <w:bCs/>
        </w:rPr>
        <w:t xml:space="preserve">, </w:t>
      </w:r>
      <w:r w:rsidR="0067135B">
        <w:rPr>
          <w:b/>
          <w:bCs/>
        </w:rPr>
        <w:t>en s</w:t>
      </w:r>
      <w:r w:rsidR="00BE4008" w:rsidRPr="00BE4008">
        <w:rPr>
          <w:b/>
          <w:bCs/>
        </w:rPr>
        <w:t>’attaquant aux causes structurelles</w:t>
      </w:r>
      <w:r w:rsidR="0067135B">
        <w:rPr>
          <w:b/>
          <w:bCs/>
        </w:rPr>
        <w:t xml:space="preserve"> </w:t>
      </w:r>
      <w:r w:rsidR="000D463C">
        <w:rPr>
          <w:b/>
          <w:bCs/>
        </w:rPr>
        <w:t xml:space="preserve">du marché du travail </w:t>
      </w:r>
      <w:r w:rsidR="00BE4008" w:rsidRPr="00BE4008">
        <w:rPr>
          <w:b/>
          <w:bCs/>
        </w:rPr>
        <w:t>qui font que les femmes occupent des emplois moins bien rémunérés</w:t>
      </w:r>
      <w:r w:rsidR="001E7C7A">
        <w:rPr>
          <w:b/>
          <w:bCs/>
        </w:rPr>
        <w:t xml:space="preserve"> </w:t>
      </w:r>
      <w:r w:rsidR="00BE4008">
        <w:rPr>
          <w:b/>
          <w:bCs/>
        </w:rPr>
        <w:t xml:space="preserve">et </w:t>
      </w:r>
      <w:r w:rsidR="001E7C7A">
        <w:rPr>
          <w:b/>
          <w:bCs/>
        </w:rPr>
        <w:t xml:space="preserve">des emplois </w:t>
      </w:r>
      <w:r w:rsidR="00BE4008">
        <w:rPr>
          <w:b/>
          <w:bCs/>
        </w:rPr>
        <w:t>à temps partiel</w:t>
      </w:r>
      <w:r w:rsidR="00CF0469">
        <w:rPr>
          <w:b/>
          <w:bCs/>
        </w:rPr>
        <w:t xml:space="preserve"> ; </w:t>
      </w:r>
    </w:p>
    <w:p w14:paraId="57A06F28" w14:textId="6807BCB6" w:rsidR="00CF0469" w:rsidRPr="00D47782" w:rsidRDefault="00D47782" w:rsidP="00D47782">
      <w:pPr>
        <w:pStyle w:val="SingleTxtG"/>
        <w:tabs>
          <w:tab w:val="left" w:pos="720"/>
        </w:tabs>
        <w:rPr>
          <w:b/>
          <w:bCs/>
          <w:lang w:val="fr-FR"/>
        </w:rPr>
      </w:pPr>
      <w:r>
        <w:rPr>
          <w:b/>
          <w:bCs/>
        </w:rPr>
        <w:tab/>
      </w:r>
      <w:r>
        <w:rPr>
          <w:b/>
          <w:bCs/>
        </w:rPr>
        <w:tab/>
        <w:t>d)</w:t>
      </w:r>
      <w:r>
        <w:rPr>
          <w:b/>
          <w:bCs/>
        </w:rPr>
        <w:tab/>
      </w:r>
      <w:r w:rsidR="00CF0469">
        <w:rPr>
          <w:b/>
          <w:bCs/>
        </w:rPr>
        <w:t xml:space="preserve">De tenir compte </w:t>
      </w:r>
      <w:r w:rsidR="0056361F" w:rsidRPr="00817A34">
        <w:rPr>
          <w:b/>
          <w:bCs/>
        </w:rPr>
        <w:t xml:space="preserve">que </w:t>
      </w:r>
      <w:r w:rsidR="0057404C" w:rsidRPr="00817A34">
        <w:rPr>
          <w:b/>
          <w:bCs/>
        </w:rPr>
        <w:t>l’</w:t>
      </w:r>
      <w:r w:rsidR="0057404C" w:rsidRPr="00817A34">
        <w:rPr>
          <w:b/>
          <w:bCs/>
          <w:lang w:val="fr-FR"/>
        </w:rPr>
        <w:t xml:space="preserve">âge de la retraite </w:t>
      </w:r>
      <w:r w:rsidR="0056361F" w:rsidRPr="00817A34">
        <w:rPr>
          <w:b/>
          <w:bCs/>
          <w:lang w:val="fr-FR"/>
        </w:rPr>
        <w:t>doit s’adapter</w:t>
      </w:r>
      <w:r w:rsidR="0057404C" w:rsidRPr="00817A34">
        <w:rPr>
          <w:b/>
          <w:bCs/>
          <w:lang w:val="fr-FR"/>
        </w:rPr>
        <w:t xml:space="preserve"> aux paramètres nationaux compte tenu, notamment, de la nature de l’emploi</w:t>
      </w:r>
      <w:r w:rsidR="0056361F" w:rsidRPr="00817A34">
        <w:rPr>
          <w:lang w:val="fr-FR"/>
        </w:rPr>
        <w:t>.</w:t>
      </w:r>
      <w:r w:rsidR="00360735" w:rsidRPr="00817A34">
        <w:t xml:space="preserve"> </w:t>
      </w:r>
    </w:p>
    <w:p w14:paraId="254A0AC7" w14:textId="5284A020" w:rsidR="00EC47B1" w:rsidRPr="00817A34" w:rsidRDefault="00162B5A" w:rsidP="00D47782">
      <w:pPr>
        <w:pStyle w:val="SingleTxtG"/>
        <w:tabs>
          <w:tab w:val="left" w:pos="720"/>
        </w:tabs>
        <w:rPr>
          <w:b/>
          <w:bCs/>
          <w:lang w:val="fr-FR"/>
        </w:rPr>
      </w:pPr>
      <w:r>
        <w:rPr>
          <w:b/>
          <w:bCs/>
          <w:lang w:val="fr-FR"/>
        </w:rPr>
        <w:tab/>
      </w:r>
      <w:r>
        <w:rPr>
          <w:b/>
          <w:bCs/>
          <w:lang w:val="fr-FR"/>
        </w:rPr>
        <w:tab/>
      </w:r>
      <w:r w:rsidR="00D47782">
        <w:rPr>
          <w:b/>
          <w:bCs/>
          <w:lang w:val="fr-FR"/>
        </w:rPr>
        <w:t xml:space="preserve">e) </w:t>
      </w:r>
      <w:r w:rsidR="00D47782">
        <w:rPr>
          <w:b/>
          <w:bCs/>
          <w:lang w:val="fr-FR"/>
        </w:rPr>
        <w:tab/>
      </w:r>
      <w:r w:rsidR="00CF0469">
        <w:rPr>
          <w:b/>
          <w:bCs/>
          <w:lang w:val="fr-FR"/>
        </w:rPr>
        <w:t xml:space="preserve">De </w:t>
      </w:r>
      <w:r w:rsidR="00797691">
        <w:rPr>
          <w:b/>
          <w:bCs/>
          <w:lang w:val="fr-FR"/>
        </w:rPr>
        <w:t>prendre en considération</w:t>
      </w:r>
      <w:r w:rsidR="00CF0469">
        <w:rPr>
          <w:b/>
          <w:bCs/>
          <w:lang w:val="fr-FR"/>
        </w:rPr>
        <w:t xml:space="preserve"> </w:t>
      </w:r>
      <w:r w:rsidR="00360735" w:rsidRPr="00817A34">
        <w:rPr>
          <w:b/>
          <w:bCs/>
        </w:rPr>
        <w:t xml:space="preserve">son observation générale n° 19 (2007) </w:t>
      </w:r>
      <w:r w:rsidR="0067135B">
        <w:rPr>
          <w:b/>
          <w:bCs/>
        </w:rPr>
        <w:t>sur</w:t>
      </w:r>
      <w:r w:rsidR="0067135B" w:rsidRPr="00817A34">
        <w:rPr>
          <w:b/>
          <w:bCs/>
        </w:rPr>
        <w:t xml:space="preserve"> </w:t>
      </w:r>
      <w:r w:rsidR="00360735" w:rsidRPr="00817A34">
        <w:rPr>
          <w:b/>
          <w:bCs/>
        </w:rPr>
        <w:t>le droit à la sécurité sociale.</w:t>
      </w:r>
    </w:p>
    <w:p w14:paraId="248C49F0" w14:textId="60C3C38C" w:rsidR="00EC47B1" w:rsidRPr="00817A34" w:rsidRDefault="0056361F" w:rsidP="00AB261D">
      <w:pPr>
        <w:pStyle w:val="H23G"/>
        <w:tabs>
          <w:tab w:val="clear" w:pos="720"/>
          <w:tab w:val="clear" w:pos="851"/>
        </w:tabs>
        <w:ind w:left="1134"/>
        <w:rPr>
          <w:b w:val="0"/>
          <w:bCs/>
        </w:rPr>
      </w:pPr>
      <w:r w:rsidRPr="00817A34">
        <w:t xml:space="preserve">Enfants migrants non-accompagnés </w:t>
      </w:r>
    </w:p>
    <w:p w14:paraId="34FD4744" w14:textId="3A38076E" w:rsidR="00EC47B1" w:rsidRPr="00817A34" w:rsidRDefault="00CE2668" w:rsidP="006F6708">
      <w:pPr>
        <w:pStyle w:val="SingleTxtG"/>
        <w:tabs>
          <w:tab w:val="left" w:pos="720"/>
        </w:tabs>
        <w:rPr>
          <w:b/>
          <w:bCs/>
        </w:rPr>
      </w:pPr>
      <w:r w:rsidRPr="00817A34">
        <w:rPr>
          <w:lang w:val="fr-FR"/>
        </w:rPr>
        <w:t>3</w:t>
      </w:r>
      <w:r>
        <w:rPr>
          <w:lang w:val="fr-FR"/>
        </w:rPr>
        <w:t>2</w:t>
      </w:r>
      <w:r w:rsidR="00EC47B1" w:rsidRPr="00817A34">
        <w:rPr>
          <w:lang w:val="fr-FR"/>
        </w:rPr>
        <w:t xml:space="preserve">. </w:t>
      </w:r>
      <w:r w:rsidR="00EC47B1" w:rsidRPr="00817A34">
        <w:rPr>
          <w:lang w:val="fr-FR"/>
        </w:rPr>
        <w:tab/>
      </w:r>
      <w:r w:rsidR="006F6708" w:rsidRPr="00817A34">
        <w:rPr>
          <w:lang w:val="fr-FR"/>
        </w:rPr>
        <w:t>L</w:t>
      </w:r>
      <w:r w:rsidR="00EC47B1" w:rsidRPr="00817A34">
        <w:rPr>
          <w:lang w:val="fr-FR"/>
        </w:rPr>
        <w:t>e Comité est préoccupé par</w:t>
      </w:r>
      <w:r w:rsidR="006F6708" w:rsidRPr="00817A34">
        <w:rPr>
          <w:lang w:val="fr-FR"/>
        </w:rPr>
        <w:t xml:space="preserve"> la situation d’</w:t>
      </w:r>
      <w:r w:rsidR="006F6708" w:rsidRPr="00817A34">
        <w:t xml:space="preserve">extrême précarité </w:t>
      </w:r>
      <w:r w:rsidR="00093EE6" w:rsidRPr="00817A34">
        <w:t xml:space="preserve">des conditions de </w:t>
      </w:r>
      <w:r w:rsidR="00761DB2" w:rsidRPr="00817A34">
        <w:t>vie des</w:t>
      </w:r>
      <w:r w:rsidR="006F6708" w:rsidRPr="00817A34">
        <w:t xml:space="preserve"> enfants migrants non</w:t>
      </w:r>
      <w:r w:rsidR="0061500E">
        <w:t>-</w:t>
      </w:r>
      <w:r w:rsidR="006F6708" w:rsidRPr="00817A34">
        <w:t>accompagnés</w:t>
      </w:r>
      <w:r w:rsidR="00682F34" w:rsidRPr="00817A34">
        <w:t xml:space="preserve">. Le Comité s’inquiète </w:t>
      </w:r>
      <w:r w:rsidR="00CF0469">
        <w:t xml:space="preserve">que les </w:t>
      </w:r>
      <w:r w:rsidR="00CF0469" w:rsidRPr="00817A34">
        <w:t xml:space="preserve">enfants migrants non-accompagnés ne bénéficient pas d’une protection adéquate, n’ont pas </w:t>
      </w:r>
      <w:r w:rsidR="00507DAF">
        <w:t xml:space="preserve">un </w:t>
      </w:r>
      <w:r w:rsidR="00CF0469" w:rsidRPr="00817A34">
        <w:t>accès</w:t>
      </w:r>
      <w:r w:rsidR="00507DAF">
        <w:t xml:space="preserve"> effectif</w:t>
      </w:r>
      <w:r w:rsidR="00CF0469" w:rsidRPr="00817A34">
        <w:t xml:space="preserve"> à des services de santé et parfois ne sont pas scolarisés</w:t>
      </w:r>
      <w:r w:rsidR="00BA337E">
        <w:t>, en raison d</w:t>
      </w:r>
      <w:r w:rsidR="00507DAF">
        <w:t xml:space="preserve">’une </w:t>
      </w:r>
      <w:r w:rsidR="00AF7EF0" w:rsidRPr="00817A34">
        <w:t>prise en charge inadéquate par les services départementaux d’aide sociale</w:t>
      </w:r>
      <w:r w:rsidR="000E7BE1">
        <w:t xml:space="preserve"> </w:t>
      </w:r>
      <w:r w:rsidR="006F6708" w:rsidRPr="00817A34">
        <w:t>(art. 10).</w:t>
      </w:r>
    </w:p>
    <w:p w14:paraId="7BBDAB8D" w14:textId="3A14C37C" w:rsidR="006F6708" w:rsidRPr="00817A34" w:rsidRDefault="00CE2668" w:rsidP="006F6708">
      <w:pPr>
        <w:pStyle w:val="SingleTxtG"/>
        <w:rPr>
          <w:b/>
        </w:rPr>
      </w:pPr>
      <w:r w:rsidRPr="00AB261D">
        <w:t>3</w:t>
      </w:r>
      <w:r>
        <w:t>3</w:t>
      </w:r>
      <w:r w:rsidR="00360735" w:rsidRPr="00AB261D">
        <w:t>.</w:t>
      </w:r>
      <w:r w:rsidR="00360735" w:rsidRPr="00AB261D">
        <w:tab/>
      </w:r>
      <w:r w:rsidR="00AF7EF0" w:rsidRPr="00817A34">
        <w:rPr>
          <w:b/>
          <w:bCs/>
        </w:rPr>
        <w:t xml:space="preserve">Le Comité </w:t>
      </w:r>
      <w:r w:rsidR="006F6708" w:rsidRPr="00817A34">
        <w:rPr>
          <w:b/>
          <w:bCs/>
        </w:rPr>
        <w:t>exhorte l’</w:t>
      </w:r>
      <w:r w:rsidR="00507DAF">
        <w:rPr>
          <w:b/>
          <w:bCs/>
        </w:rPr>
        <w:t>É</w:t>
      </w:r>
      <w:r w:rsidR="006F6708" w:rsidRPr="00817A34">
        <w:rPr>
          <w:b/>
          <w:bCs/>
        </w:rPr>
        <w:t xml:space="preserve">tat partie à garantir de manière urgente une protection effective </w:t>
      </w:r>
      <w:r w:rsidR="000677B8">
        <w:rPr>
          <w:b/>
          <w:bCs/>
        </w:rPr>
        <w:t>aux</w:t>
      </w:r>
      <w:r w:rsidR="000677B8" w:rsidRPr="00817A34">
        <w:rPr>
          <w:b/>
          <w:bCs/>
        </w:rPr>
        <w:t xml:space="preserve"> </w:t>
      </w:r>
      <w:r w:rsidR="006F6708" w:rsidRPr="00817A34">
        <w:rPr>
          <w:b/>
          <w:bCs/>
        </w:rPr>
        <w:t>enfants migrants non accompagnés, en prêtant la plus grande attention à leur accueil</w:t>
      </w:r>
      <w:r w:rsidR="0032511B" w:rsidRPr="00817A34">
        <w:rPr>
          <w:b/>
          <w:bCs/>
        </w:rPr>
        <w:t>,</w:t>
      </w:r>
      <w:r w:rsidR="004C6F85" w:rsidRPr="00817A34">
        <w:rPr>
          <w:b/>
          <w:bCs/>
        </w:rPr>
        <w:t xml:space="preserve"> le respect de leurs droits,</w:t>
      </w:r>
      <w:r w:rsidR="0032511B" w:rsidRPr="00817A34">
        <w:rPr>
          <w:b/>
          <w:bCs/>
        </w:rPr>
        <w:t xml:space="preserve"> </w:t>
      </w:r>
      <w:r w:rsidR="006F6708" w:rsidRPr="00817A34">
        <w:rPr>
          <w:b/>
          <w:bCs/>
        </w:rPr>
        <w:t>à l’examen de leur situation particulièr</w:t>
      </w:r>
      <w:r w:rsidR="0032511B" w:rsidRPr="00817A34">
        <w:rPr>
          <w:b/>
          <w:bCs/>
        </w:rPr>
        <w:t>e</w:t>
      </w:r>
      <w:r w:rsidR="004C6F85" w:rsidRPr="00817A34">
        <w:rPr>
          <w:b/>
          <w:bCs/>
        </w:rPr>
        <w:t xml:space="preserve">. Il lui recommande de mettre </w:t>
      </w:r>
      <w:r w:rsidR="006F6708" w:rsidRPr="00817A34">
        <w:rPr>
          <w:b/>
          <w:bCs/>
        </w:rPr>
        <w:t>en place tous les moyens pour leur faciliter l’accès à la procédure d’asile et à la réunification familiale</w:t>
      </w:r>
      <w:r w:rsidR="004C6F85" w:rsidRPr="00817A34">
        <w:rPr>
          <w:b/>
          <w:bCs/>
        </w:rPr>
        <w:t>.</w:t>
      </w:r>
      <w:r w:rsidR="006F6708" w:rsidRPr="00817A34">
        <w:rPr>
          <w:b/>
        </w:rPr>
        <w:t xml:space="preserve"> </w:t>
      </w:r>
      <w:r w:rsidR="00AF7EF0" w:rsidRPr="00817A34">
        <w:rPr>
          <w:b/>
          <w:bCs/>
        </w:rPr>
        <w:t>Le Comité recommande à l’</w:t>
      </w:r>
      <w:r w:rsidR="00507DAF">
        <w:rPr>
          <w:b/>
          <w:bCs/>
        </w:rPr>
        <w:t>É</w:t>
      </w:r>
      <w:r w:rsidR="00AF7EF0" w:rsidRPr="00817A34">
        <w:rPr>
          <w:b/>
          <w:bCs/>
        </w:rPr>
        <w:t xml:space="preserve">tat partie de renforcer </w:t>
      </w:r>
      <w:r w:rsidR="0032511B" w:rsidRPr="00817A34">
        <w:rPr>
          <w:b/>
          <w:bCs/>
        </w:rPr>
        <w:t xml:space="preserve">les capacités des </w:t>
      </w:r>
      <w:r w:rsidR="00EA61C6" w:rsidRPr="00817A34">
        <w:rPr>
          <w:b/>
          <w:bCs/>
        </w:rPr>
        <w:t xml:space="preserve">services en charge de l’évaluation et du suivi des enfants non </w:t>
      </w:r>
      <w:r w:rsidR="00EA61C6" w:rsidRPr="00817A34">
        <w:rPr>
          <w:b/>
          <w:bCs/>
        </w:rPr>
        <w:lastRenderedPageBreak/>
        <w:t xml:space="preserve">accompagnés, notamment de l’Aide sociale à l’enfance afin d’assurer le respect de leur dignité et de leurs droits, notamment leur droit à la santé et à </w:t>
      </w:r>
      <w:r w:rsidR="00682F34" w:rsidRPr="00817A34">
        <w:rPr>
          <w:b/>
          <w:bCs/>
        </w:rPr>
        <w:t xml:space="preserve">l’éducation. </w:t>
      </w:r>
      <w:r w:rsidR="004C6F85" w:rsidRPr="00817A34">
        <w:rPr>
          <w:b/>
          <w:bCs/>
        </w:rPr>
        <w:t>Le Comité rappelle à l’</w:t>
      </w:r>
      <w:r w:rsidR="00507DAF">
        <w:rPr>
          <w:b/>
          <w:bCs/>
        </w:rPr>
        <w:t>É</w:t>
      </w:r>
      <w:r w:rsidR="004C6F85" w:rsidRPr="00817A34">
        <w:rPr>
          <w:b/>
          <w:bCs/>
        </w:rPr>
        <w:t xml:space="preserve">tat partie la recommandation </w:t>
      </w:r>
      <w:r w:rsidR="0067135B">
        <w:rPr>
          <w:b/>
          <w:bCs/>
        </w:rPr>
        <w:t>du</w:t>
      </w:r>
      <w:r w:rsidR="004C6F85" w:rsidRPr="00817A34">
        <w:rPr>
          <w:b/>
          <w:bCs/>
        </w:rPr>
        <w:t xml:space="preserve"> Comité pour l’</w:t>
      </w:r>
      <w:r w:rsidR="00507DAF">
        <w:rPr>
          <w:b/>
          <w:bCs/>
        </w:rPr>
        <w:t>É</w:t>
      </w:r>
      <w:r w:rsidR="004C6F85" w:rsidRPr="00817A34">
        <w:rPr>
          <w:b/>
          <w:bCs/>
        </w:rPr>
        <w:t>limination de la discrimination raciale</w:t>
      </w:r>
      <w:r w:rsidR="004C6F85" w:rsidRPr="00817A34">
        <w:rPr>
          <w:rStyle w:val="Appelnotedebasdep"/>
          <w:b/>
          <w:bCs/>
        </w:rPr>
        <w:footnoteReference w:id="11"/>
      </w:r>
      <w:r w:rsidR="004C6F85" w:rsidRPr="00817A34">
        <w:rPr>
          <w:b/>
          <w:bCs/>
        </w:rPr>
        <w:t>.</w:t>
      </w:r>
    </w:p>
    <w:p w14:paraId="6EC25A9B" w14:textId="466833EA" w:rsidR="007E0421" w:rsidRPr="00817A34" w:rsidRDefault="007E0421" w:rsidP="00AB261D">
      <w:pPr>
        <w:pStyle w:val="H23G"/>
        <w:tabs>
          <w:tab w:val="clear" w:pos="720"/>
          <w:tab w:val="clear" w:pos="851"/>
        </w:tabs>
        <w:ind w:left="1134"/>
        <w:rPr>
          <w:b w:val="0"/>
          <w:bCs/>
        </w:rPr>
      </w:pPr>
      <w:r w:rsidRPr="00AB261D">
        <w:t>Traite</w:t>
      </w:r>
      <w:r w:rsidRPr="00817A34">
        <w:rPr>
          <w:bCs/>
        </w:rPr>
        <w:t xml:space="preserve"> d</w:t>
      </w:r>
      <w:r w:rsidR="0067135B">
        <w:rPr>
          <w:bCs/>
        </w:rPr>
        <w:t xml:space="preserve">es </w:t>
      </w:r>
      <w:r w:rsidRPr="00817A34">
        <w:rPr>
          <w:bCs/>
        </w:rPr>
        <w:t>êtres humain</w:t>
      </w:r>
      <w:r w:rsidR="0067135B">
        <w:rPr>
          <w:bCs/>
        </w:rPr>
        <w:t>s</w:t>
      </w:r>
      <w:r w:rsidR="004C6F85" w:rsidRPr="00817A34">
        <w:rPr>
          <w:bCs/>
        </w:rPr>
        <w:t xml:space="preserve"> </w:t>
      </w:r>
    </w:p>
    <w:p w14:paraId="311ADB94" w14:textId="09409D84" w:rsidR="007E0421" w:rsidRPr="00817A34" w:rsidRDefault="00CE2668" w:rsidP="007E0421">
      <w:pPr>
        <w:pStyle w:val="SingleTxtG"/>
        <w:tabs>
          <w:tab w:val="left" w:pos="720"/>
        </w:tabs>
        <w:rPr>
          <w:lang w:val="fr-FR"/>
        </w:rPr>
      </w:pPr>
      <w:r w:rsidRPr="00817A34">
        <w:rPr>
          <w:lang w:val="fr-FR"/>
        </w:rPr>
        <w:t>3</w:t>
      </w:r>
      <w:r>
        <w:rPr>
          <w:lang w:val="fr-FR"/>
        </w:rPr>
        <w:t>4</w:t>
      </w:r>
      <w:r w:rsidR="007E0421" w:rsidRPr="00817A34">
        <w:rPr>
          <w:lang w:val="fr-FR"/>
        </w:rPr>
        <w:t>.</w:t>
      </w:r>
      <w:r w:rsidR="007E0421" w:rsidRPr="00817A34">
        <w:rPr>
          <w:lang w:val="fr-FR"/>
        </w:rPr>
        <w:tab/>
        <w:t>Le Comité accueil</w:t>
      </w:r>
      <w:r w:rsidR="0067135B">
        <w:rPr>
          <w:lang w:val="fr-FR"/>
        </w:rPr>
        <w:t xml:space="preserve">le avec satisfaction </w:t>
      </w:r>
      <w:r w:rsidR="007E0421" w:rsidRPr="00817A34">
        <w:rPr>
          <w:lang w:val="fr-FR"/>
        </w:rPr>
        <w:t xml:space="preserve">l’adoption du deuxième plan d’action national contre la traite des êtres humains. Le Comité regrette, </w:t>
      </w:r>
      <w:r w:rsidR="0067135B">
        <w:rPr>
          <w:lang w:val="fr-FR"/>
        </w:rPr>
        <w:t>cependant</w:t>
      </w:r>
      <w:r w:rsidR="007E0421" w:rsidRPr="00817A34">
        <w:rPr>
          <w:lang w:val="fr-FR"/>
        </w:rPr>
        <w:t>, que la collecte de données et l’identification des victimes</w:t>
      </w:r>
      <w:r w:rsidR="00257F7F" w:rsidRPr="00817A34">
        <w:rPr>
          <w:lang w:val="fr-FR"/>
        </w:rPr>
        <w:t>, y compris les victimes de traite à des fins d’exploitation économique</w:t>
      </w:r>
      <w:r w:rsidR="00DE7662" w:rsidRPr="00817A34">
        <w:rPr>
          <w:lang w:val="fr-FR"/>
        </w:rPr>
        <w:t xml:space="preserve">, ainsi que </w:t>
      </w:r>
      <w:r w:rsidR="007E0421" w:rsidRPr="00817A34">
        <w:rPr>
          <w:lang w:val="fr-FR"/>
        </w:rPr>
        <w:t>leur protection effective semblent manquer d’approche globale et systématique</w:t>
      </w:r>
      <w:r w:rsidR="00257F7F" w:rsidRPr="00817A34">
        <w:rPr>
          <w:lang w:val="fr-FR"/>
        </w:rPr>
        <w:t xml:space="preserve"> </w:t>
      </w:r>
      <w:r w:rsidR="007E0421" w:rsidRPr="00817A34">
        <w:rPr>
          <w:lang w:val="fr-FR"/>
        </w:rPr>
        <w:t xml:space="preserve">(art. </w:t>
      </w:r>
      <w:r w:rsidR="00E14162" w:rsidRPr="00817A34">
        <w:rPr>
          <w:lang w:val="fr-FR"/>
        </w:rPr>
        <w:t>10</w:t>
      </w:r>
      <w:r w:rsidR="007E0421" w:rsidRPr="00817A34">
        <w:rPr>
          <w:lang w:val="fr-FR"/>
        </w:rPr>
        <w:t>).</w:t>
      </w:r>
    </w:p>
    <w:p w14:paraId="63E26D37" w14:textId="0EE77406" w:rsidR="007E0421" w:rsidRPr="00817A34" w:rsidRDefault="00CE2668" w:rsidP="00E14162">
      <w:pPr>
        <w:pStyle w:val="SingleTxtG"/>
        <w:tabs>
          <w:tab w:val="left" w:pos="720"/>
        </w:tabs>
        <w:rPr>
          <w:b/>
          <w:bCs/>
          <w:lang w:val="fr-FR"/>
        </w:rPr>
      </w:pPr>
      <w:r w:rsidRPr="00AB261D">
        <w:rPr>
          <w:lang w:val="fr-FR"/>
        </w:rPr>
        <w:t>3</w:t>
      </w:r>
      <w:r>
        <w:rPr>
          <w:lang w:val="fr-FR"/>
        </w:rPr>
        <w:t>5</w:t>
      </w:r>
      <w:r w:rsidR="00360735" w:rsidRPr="00AB261D">
        <w:rPr>
          <w:lang w:val="fr-FR"/>
        </w:rPr>
        <w:t>.</w:t>
      </w:r>
      <w:r w:rsidR="00360735" w:rsidRPr="00AB261D">
        <w:rPr>
          <w:lang w:val="fr-FR"/>
        </w:rPr>
        <w:tab/>
      </w:r>
      <w:r w:rsidR="007E0421" w:rsidRPr="00817A34">
        <w:rPr>
          <w:b/>
          <w:bCs/>
          <w:lang w:val="fr-FR"/>
        </w:rPr>
        <w:t>Le Comité recommande à l’</w:t>
      </w:r>
      <w:r w:rsidR="006938F7" w:rsidRPr="00817A34">
        <w:rPr>
          <w:b/>
          <w:bCs/>
          <w:lang w:val="fr-FR"/>
        </w:rPr>
        <w:t>État</w:t>
      </w:r>
      <w:r w:rsidR="007E0421" w:rsidRPr="00817A34">
        <w:rPr>
          <w:b/>
          <w:bCs/>
          <w:lang w:val="fr-FR"/>
        </w:rPr>
        <w:t xml:space="preserve"> partie de prendre les mesures nécessaires pour </w:t>
      </w:r>
      <w:r w:rsidR="00E14162" w:rsidRPr="00817A34">
        <w:rPr>
          <w:b/>
          <w:bCs/>
          <w:lang w:val="fr-FR"/>
        </w:rPr>
        <w:t>adopter une politique globale de l</w:t>
      </w:r>
      <w:r w:rsidR="007E0421" w:rsidRPr="00817A34">
        <w:rPr>
          <w:b/>
          <w:bCs/>
          <w:lang w:val="fr-FR"/>
        </w:rPr>
        <w:t>utte contre la traite d</w:t>
      </w:r>
      <w:r w:rsidR="0067135B">
        <w:rPr>
          <w:b/>
          <w:bCs/>
          <w:lang w:val="fr-FR"/>
        </w:rPr>
        <w:t xml:space="preserve">es </w:t>
      </w:r>
      <w:r w:rsidR="007E0421" w:rsidRPr="00817A34">
        <w:rPr>
          <w:b/>
          <w:bCs/>
          <w:lang w:val="fr-FR"/>
        </w:rPr>
        <w:t>êtres humains</w:t>
      </w:r>
      <w:r w:rsidR="00E14162" w:rsidRPr="00817A34">
        <w:rPr>
          <w:b/>
          <w:bCs/>
          <w:lang w:val="fr-FR"/>
        </w:rPr>
        <w:t>,</w:t>
      </w:r>
      <w:r w:rsidR="007E0421" w:rsidRPr="00817A34">
        <w:rPr>
          <w:b/>
          <w:bCs/>
          <w:lang w:val="fr-FR"/>
        </w:rPr>
        <w:t xml:space="preserve"> en assurant une protection </w:t>
      </w:r>
      <w:r w:rsidR="00E14162" w:rsidRPr="00817A34">
        <w:rPr>
          <w:b/>
          <w:bCs/>
          <w:lang w:val="fr-FR"/>
        </w:rPr>
        <w:t xml:space="preserve">effective aux victimes, notamment leur accès à un </w:t>
      </w:r>
      <w:r w:rsidR="0067135B">
        <w:rPr>
          <w:b/>
          <w:bCs/>
          <w:lang w:val="fr-FR"/>
        </w:rPr>
        <w:t>appui juridique</w:t>
      </w:r>
      <w:r w:rsidR="00E14162" w:rsidRPr="00817A34">
        <w:rPr>
          <w:b/>
          <w:bCs/>
          <w:lang w:val="fr-FR"/>
        </w:rPr>
        <w:t xml:space="preserve"> et psychologique adéquat et en assurant que cette politique soit </w:t>
      </w:r>
      <w:r w:rsidR="0067135B">
        <w:rPr>
          <w:b/>
          <w:bCs/>
          <w:lang w:val="fr-FR"/>
        </w:rPr>
        <w:t>dotée</w:t>
      </w:r>
      <w:r w:rsidR="0067135B" w:rsidRPr="00817A34">
        <w:rPr>
          <w:b/>
          <w:bCs/>
          <w:lang w:val="fr-FR"/>
        </w:rPr>
        <w:t xml:space="preserve"> </w:t>
      </w:r>
      <w:r w:rsidR="000677B8">
        <w:rPr>
          <w:b/>
          <w:bCs/>
          <w:lang w:val="fr-FR"/>
        </w:rPr>
        <w:t>de</w:t>
      </w:r>
      <w:r w:rsidR="00E14162" w:rsidRPr="00817A34">
        <w:rPr>
          <w:b/>
          <w:bCs/>
          <w:lang w:val="fr-FR"/>
        </w:rPr>
        <w:t xml:space="preserve"> ressources humaines, techniques et financières nécessaires pour sa mise en œuvre effective. </w:t>
      </w:r>
      <w:r w:rsidR="00DE7662" w:rsidRPr="00817A34">
        <w:rPr>
          <w:b/>
          <w:bCs/>
          <w:lang w:val="fr-FR"/>
        </w:rPr>
        <w:t>Le Comité recommande également à l’</w:t>
      </w:r>
      <w:r w:rsidR="00507DAF">
        <w:rPr>
          <w:b/>
          <w:bCs/>
          <w:lang w:val="fr-FR"/>
        </w:rPr>
        <w:t>É</w:t>
      </w:r>
      <w:r w:rsidR="00DE7662" w:rsidRPr="00817A34">
        <w:rPr>
          <w:b/>
          <w:bCs/>
          <w:lang w:val="fr-FR"/>
        </w:rPr>
        <w:t>tat partie d’adopter une approche systémique dans la lutte contre la traite de</w:t>
      </w:r>
      <w:r w:rsidR="0067135B">
        <w:rPr>
          <w:b/>
          <w:bCs/>
          <w:lang w:val="fr-FR"/>
        </w:rPr>
        <w:t xml:space="preserve">s êtres humains </w:t>
      </w:r>
      <w:r w:rsidR="00DE7662" w:rsidRPr="00817A34">
        <w:rPr>
          <w:b/>
          <w:bCs/>
          <w:lang w:val="fr-FR"/>
        </w:rPr>
        <w:t xml:space="preserve">en prenant en compte toutes ses formes, y compris la traite à des fins d’exploitation au travail. </w:t>
      </w:r>
    </w:p>
    <w:p w14:paraId="084305EB" w14:textId="39E17497" w:rsidR="00847598" w:rsidRPr="00817A34" w:rsidRDefault="007E0421" w:rsidP="00AB261D">
      <w:pPr>
        <w:pStyle w:val="H23G"/>
        <w:tabs>
          <w:tab w:val="clear" w:pos="720"/>
          <w:tab w:val="clear" w:pos="851"/>
        </w:tabs>
        <w:ind w:left="1134"/>
      </w:pPr>
      <w:r w:rsidRPr="00817A34">
        <w:tab/>
      </w:r>
      <w:r w:rsidR="0056361F" w:rsidRPr="00817A34">
        <w:t>Protection des p</w:t>
      </w:r>
      <w:r w:rsidR="00847598" w:rsidRPr="00817A34">
        <w:t>ersonnes âgées</w:t>
      </w:r>
    </w:p>
    <w:p w14:paraId="7F78B52F" w14:textId="605ABDF4" w:rsidR="00847598" w:rsidRPr="00817A34" w:rsidRDefault="00CE2668" w:rsidP="00EC47B1">
      <w:pPr>
        <w:pStyle w:val="SingleTxtG"/>
        <w:tabs>
          <w:tab w:val="left" w:pos="720"/>
        </w:tabs>
      </w:pPr>
      <w:r w:rsidRPr="00817A34">
        <w:t>3</w:t>
      </w:r>
      <w:r>
        <w:t>6</w:t>
      </w:r>
      <w:r w:rsidR="00360735" w:rsidRPr="00817A34">
        <w:t>.</w:t>
      </w:r>
      <w:r w:rsidR="00360735" w:rsidRPr="00817A34">
        <w:tab/>
      </w:r>
      <w:r w:rsidR="00847598" w:rsidRPr="00817A34">
        <w:t xml:space="preserve">Le Comité est préoccupé par les atteintes aux droits </w:t>
      </w:r>
      <w:r w:rsidR="003B2548" w:rsidRPr="00817A34">
        <w:t xml:space="preserve">des personnes âgées, notamment à leur </w:t>
      </w:r>
      <w:r w:rsidR="00847598" w:rsidRPr="00817A34">
        <w:t xml:space="preserve">dignité et </w:t>
      </w:r>
      <w:r w:rsidR="003B2548" w:rsidRPr="00817A34">
        <w:t>l</w:t>
      </w:r>
      <w:r w:rsidR="00847598" w:rsidRPr="00817A34">
        <w:t xml:space="preserve">’intégrité </w:t>
      </w:r>
      <w:r w:rsidR="003B2548" w:rsidRPr="00817A34">
        <w:t xml:space="preserve">physique </w:t>
      </w:r>
      <w:r w:rsidR="00847598" w:rsidRPr="00817A34">
        <w:t xml:space="preserve">des personnes âgées accueillies </w:t>
      </w:r>
      <w:r w:rsidR="0067135B">
        <w:t>dans les</w:t>
      </w:r>
      <w:r w:rsidR="0067135B" w:rsidRPr="00817A34">
        <w:t xml:space="preserve"> </w:t>
      </w:r>
      <w:r w:rsidR="00847598" w:rsidRPr="00817A34">
        <w:t>établissements d’hébergement des personnes âgées dépendantes (EHPAD</w:t>
      </w:r>
      <w:r w:rsidR="003B2548" w:rsidRPr="00817A34">
        <w:t>). L</w:t>
      </w:r>
      <w:r w:rsidR="0006158A" w:rsidRPr="00817A34">
        <w:t>e</w:t>
      </w:r>
      <w:r w:rsidR="003B2548" w:rsidRPr="00817A34">
        <w:t xml:space="preserve"> Comité constate avec préoccupation que ces établissements manquent </w:t>
      </w:r>
      <w:r w:rsidR="0006158A" w:rsidRPr="00817A34">
        <w:t>fréquemment</w:t>
      </w:r>
      <w:r w:rsidR="003B2548" w:rsidRPr="00817A34">
        <w:t xml:space="preserve"> de moyens financiers ce qui impacte les conditions de vie des personnes accueillies, ainsi que les conditions de travail des personnes qui y travaillent</w:t>
      </w:r>
      <w:r w:rsidR="00D60EC9" w:rsidRPr="00817A34">
        <w:rPr>
          <w:lang w:val="fr-FR"/>
        </w:rPr>
        <w:t xml:space="preserve"> (art. 10)</w:t>
      </w:r>
      <w:r w:rsidR="001304E9" w:rsidRPr="00817A34">
        <w:rPr>
          <w:lang w:val="fr-FR"/>
        </w:rPr>
        <w:t>.</w:t>
      </w:r>
    </w:p>
    <w:p w14:paraId="044CBB91" w14:textId="14362730" w:rsidR="003B2548" w:rsidRPr="00817A34" w:rsidRDefault="00CE2668" w:rsidP="00EC47B1">
      <w:pPr>
        <w:pStyle w:val="SingleTxtG"/>
        <w:tabs>
          <w:tab w:val="left" w:pos="720"/>
        </w:tabs>
        <w:rPr>
          <w:b/>
          <w:bCs/>
        </w:rPr>
      </w:pPr>
      <w:r w:rsidRPr="00AB261D">
        <w:t>3</w:t>
      </w:r>
      <w:r>
        <w:t>7</w:t>
      </w:r>
      <w:r w:rsidR="00360735" w:rsidRPr="00AB261D">
        <w:t>.</w:t>
      </w:r>
      <w:r w:rsidR="00360735" w:rsidRPr="00AB261D">
        <w:tab/>
      </w:r>
      <w:r w:rsidR="00847598" w:rsidRPr="00817A34">
        <w:rPr>
          <w:b/>
          <w:bCs/>
        </w:rPr>
        <w:t>Le Comité recommande à l’</w:t>
      </w:r>
      <w:r w:rsidR="00507DAF">
        <w:rPr>
          <w:b/>
          <w:bCs/>
        </w:rPr>
        <w:t>É</w:t>
      </w:r>
      <w:r w:rsidR="00847598" w:rsidRPr="00817A34">
        <w:rPr>
          <w:b/>
          <w:bCs/>
        </w:rPr>
        <w:t>tat partie</w:t>
      </w:r>
      <w:r w:rsidR="00AF5B39" w:rsidRPr="00817A34">
        <w:rPr>
          <w:b/>
          <w:bCs/>
        </w:rPr>
        <w:t xml:space="preserve"> </w:t>
      </w:r>
      <w:r w:rsidR="00897F5C" w:rsidRPr="00817A34">
        <w:rPr>
          <w:b/>
          <w:bCs/>
        </w:rPr>
        <w:t xml:space="preserve">de mener des enquêtes approfondies sur tous les cas de violations des droits des personnes âgées et de traduire en justice les responsables. Il lui recommande également </w:t>
      </w:r>
      <w:r w:rsidR="00AF5B39" w:rsidRPr="00817A34">
        <w:rPr>
          <w:b/>
          <w:bCs/>
        </w:rPr>
        <w:t>d</w:t>
      </w:r>
      <w:r w:rsidR="003B2548" w:rsidRPr="00817A34">
        <w:rPr>
          <w:b/>
          <w:bCs/>
        </w:rPr>
        <w:t>’allouer les ressources nécessaires afin d’</w:t>
      </w:r>
      <w:r w:rsidR="00AF5B39" w:rsidRPr="00817A34">
        <w:rPr>
          <w:b/>
          <w:bCs/>
        </w:rPr>
        <w:t>améliorer les conditions de vie des personnes âgées dans les EPHAD</w:t>
      </w:r>
      <w:r w:rsidR="00D13002" w:rsidRPr="00817A34">
        <w:rPr>
          <w:b/>
          <w:bCs/>
        </w:rPr>
        <w:t xml:space="preserve"> notamment l’accès aux soins</w:t>
      </w:r>
      <w:r w:rsidR="00AF5B39" w:rsidRPr="00817A34">
        <w:rPr>
          <w:b/>
          <w:bCs/>
        </w:rPr>
        <w:t>, ainsi qu</w:t>
      </w:r>
      <w:r w:rsidR="00D13002" w:rsidRPr="00817A34">
        <w:rPr>
          <w:b/>
          <w:bCs/>
        </w:rPr>
        <w:t xml:space="preserve">e </w:t>
      </w:r>
      <w:r w:rsidR="003B2548" w:rsidRPr="00817A34">
        <w:rPr>
          <w:b/>
          <w:bCs/>
        </w:rPr>
        <w:t xml:space="preserve">les conditions de travail des personnes </w:t>
      </w:r>
      <w:r w:rsidR="00897F5C" w:rsidRPr="00817A34">
        <w:rPr>
          <w:b/>
          <w:bCs/>
        </w:rPr>
        <w:t xml:space="preserve">employées </w:t>
      </w:r>
      <w:r w:rsidR="003B2548" w:rsidRPr="00817A34">
        <w:rPr>
          <w:b/>
          <w:bCs/>
        </w:rPr>
        <w:t xml:space="preserve">dans ces établissements. </w:t>
      </w:r>
      <w:r w:rsidR="00897F5C" w:rsidRPr="00817A34">
        <w:rPr>
          <w:b/>
          <w:bCs/>
        </w:rPr>
        <w:t>En outre, l</w:t>
      </w:r>
      <w:r w:rsidR="003B2548" w:rsidRPr="00817A34">
        <w:rPr>
          <w:b/>
          <w:bCs/>
        </w:rPr>
        <w:t>e Comité recommande à l’</w:t>
      </w:r>
      <w:r w:rsidR="00507DAF">
        <w:rPr>
          <w:b/>
          <w:bCs/>
        </w:rPr>
        <w:t>É</w:t>
      </w:r>
      <w:r w:rsidR="003B2548" w:rsidRPr="00817A34">
        <w:rPr>
          <w:b/>
          <w:bCs/>
        </w:rPr>
        <w:t>tat partie d</w:t>
      </w:r>
      <w:r w:rsidR="00101078" w:rsidRPr="00817A34">
        <w:rPr>
          <w:b/>
          <w:bCs/>
        </w:rPr>
        <w:t xml:space="preserve">’accélérer la mise </w:t>
      </w:r>
      <w:r w:rsidR="003B2548" w:rsidRPr="00817A34">
        <w:rPr>
          <w:b/>
          <w:bCs/>
        </w:rPr>
        <w:t>en place</w:t>
      </w:r>
      <w:r w:rsidR="00101078" w:rsidRPr="00817A34">
        <w:rPr>
          <w:b/>
          <w:bCs/>
        </w:rPr>
        <w:t xml:space="preserve"> d’</w:t>
      </w:r>
      <w:r w:rsidR="003B2548" w:rsidRPr="00817A34">
        <w:rPr>
          <w:b/>
          <w:bCs/>
        </w:rPr>
        <w:t xml:space="preserve">un mécanisme effectif de surveillance et de contrôle de ces établissements sur </w:t>
      </w:r>
      <w:r w:rsidR="00AF5B39" w:rsidRPr="00817A34">
        <w:rPr>
          <w:b/>
          <w:bCs/>
        </w:rPr>
        <w:t xml:space="preserve">l’ensemble du territoire français, y compris dans les territoires </w:t>
      </w:r>
      <w:r w:rsidR="003B2548" w:rsidRPr="00817A34">
        <w:rPr>
          <w:b/>
          <w:bCs/>
        </w:rPr>
        <w:t>d’outre-mer</w:t>
      </w:r>
      <w:r w:rsidR="00AF5B39" w:rsidRPr="00817A34">
        <w:rPr>
          <w:b/>
          <w:bCs/>
        </w:rPr>
        <w:t>.</w:t>
      </w:r>
      <w:r w:rsidR="00897F5C" w:rsidRPr="00817A34">
        <w:rPr>
          <w:b/>
          <w:bCs/>
        </w:rPr>
        <w:t xml:space="preserve"> </w:t>
      </w:r>
    </w:p>
    <w:p w14:paraId="64EE16C2" w14:textId="56E3196C" w:rsidR="00847598" w:rsidRPr="00817A34" w:rsidRDefault="003B2548" w:rsidP="00AB261D">
      <w:pPr>
        <w:pStyle w:val="H23G"/>
        <w:tabs>
          <w:tab w:val="clear" w:pos="720"/>
          <w:tab w:val="clear" w:pos="851"/>
        </w:tabs>
        <w:ind w:left="1134"/>
        <w:rPr>
          <w:b w:val="0"/>
          <w:bCs/>
        </w:rPr>
      </w:pPr>
      <w:r w:rsidRPr="00AB261D">
        <w:t>Pauvreté</w:t>
      </w:r>
      <w:r w:rsidRPr="00817A34">
        <w:rPr>
          <w:bCs/>
        </w:rPr>
        <w:t xml:space="preserve"> </w:t>
      </w:r>
      <w:r w:rsidR="00AF5B39" w:rsidRPr="00817A34">
        <w:rPr>
          <w:bCs/>
        </w:rPr>
        <w:t> </w:t>
      </w:r>
    </w:p>
    <w:p w14:paraId="615327E3" w14:textId="7C8A2557" w:rsidR="00EF2E50" w:rsidRPr="00817A34" w:rsidRDefault="00CE2668" w:rsidP="00EC47B1">
      <w:pPr>
        <w:pStyle w:val="SingleTxtG"/>
        <w:tabs>
          <w:tab w:val="left" w:pos="720"/>
        </w:tabs>
        <w:rPr>
          <w:b/>
          <w:bCs/>
          <w:lang w:val="fr-FR"/>
        </w:rPr>
      </w:pPr>
      <w:r w:rsidRPr="00817A34">
        <w:t>3</w:t>
      </w:r>
      <w:r>
        <w:t>8</w:t>
      </w:r>
      <w:r w:rsidR="00A9267E" w:rsidRPr="00817A34">
        <w:t>.</w:t>
      </w:r>
      <w:r w:rsidR="00A9267E" w:rsidRPr="00817A34">
        <w:tab/>
      </w:r>
      <w:r w:rsidR="008F6EFA" w:rsidRPr="00817A34">
        <w:t>Le Comité constate avec préoccupation que, malgré les mesures adoptées par l’</w:t>
      </w:r>
      <w:r w:rsidR="00507DAF">
        <w:t>É</w:t>
      </w:r>
      <w:r w:rsidR="008F6EFA" w:rsidRPr="00817A34">
        <w:t xml:space="preserve">tat partie, l’incidence de la pauvreté parmi certains groupes défavorisés et marginalisés continue à aggraver leur situation d’exclusion sociale. Il constate également avec préoccupation que </w:t>
      </w:r>
      <w:r w:rsidR="003A6C5A" w:rsidRPr="00817A34">
        <w:t xml:space="preserve">le taux de pauvreté n’a pas baissé et est en légère augmentation et que </w:t>
      </w:r>
      <w:r w:rsidR="00AE09F3" w:rsidRPr="00817A34">
        <w:t xml:space="preserve">certaines banlieues et zones rurales, ainsi que </w:t>
      </w:r>
      <w:r w:rsidR="008F6EFA" w:rsidRPr="00817A34">
        <w:t xml:space="preserve">les </w:t>
      </w:r>
      <w:r w:rsidR="00AE09F3" w:rsidRPr="00817A34">
        <w:t>territoires</w:t>
      </w:r>
      <w:r w:rsidR="008F6EFA" w:rsidRPr="00817A34">
        <w:t xml:space="preserve"> d’outre-mer</w:t>
      </w:r>
      <w:r w:rsidR="00AE09F3" w:rsidRPr="00817A34">
        <w:t xml:space="preserve"> sont plus touchés par la pauvreté</w:t>
      </w:r>
      <w:r w:rsidR="008F6EFA" w:rsidRPr="00817A34">
        <w:t xml:space="preserve">, </w:t>
      </w:r>
      <w:r w:rsidR="00AE09F3" w:rsidRPr="00817A34">
        <w:t xml:space="preserve">tel est le cas pour </w:t>
      </w:r>
      <w:r w:rsidR="008F6EFA" w:rsidRPr="00817A34">
        <w:t>Mayotte</w:t>
      </w:r>
      <w:r w:rsidR="00AE09F3" w:rsidRPr="00817A34">
        <w:t xml:space="preserve"> et </w:t>
      </w:r>
      <w:r w:rsidR="008F6EFA" w:rsidRPr="00817A34">
        <w:t>la</w:t>
      </w:r>
      <w:r w:rsidR="00AE09F3" w:rsidRPr="00817A34">
        <w:t xml:space="preserve"> Guyane française</w:t>
      </w:r>
      <w:r w:rsidR="003A6C5A" w:rsidRPr="00817A34">
        <w:t xml:space="preserve">. Le Comité s’inquiète de l’absence de </w:t>
      </w:r>
      <w:r w:rsidR="00267BE4" w:rsidRPr="00817A34">
        <w:t xml:space="preserve">mesures ciblées de lutte contre la pauvreté qui </w:t>
      </w:r>
      <w:r w:rsidR="00571422" w:rsidRPr="00817A34">
        <w:t xml:space="preserve">ne </w:t>
      </w:r>
      <w:r w:rsidR="00267BE4" w:rsidRPr="00817A34">
        <w:t>tiennent</w:t>
      </w:r>
      <w:r w:rsidR="00571422" w:rsidRPr="00817A34">
        <w:t xml:space="preserve"> pas</w:t>
      </w:r>
      <w:r w:rsidR="00267BE4" w:rsidRPr="00817A34">
        <w:t xml:space="preserve"> compte </w:t>
      </w:r>
      <w:r w:rsidR="00571422" w:rsidRPr="00817A34">
        <w:t>d</w:t>
      </w:r>
      <w:r w:rsidR="00267BE4" w:rsidRPr="00817A34">
        <w:t>e</w:t>
      </w:r>
      <w:r w:rsidR="003A6C5A" w:rsidRPr="00817A34">
        <w:t>s</w:t>
      </w:r>
      <w:r w:rsidR="00267BE4" w:rsidRPr="00817A34">
        <w:t xml:space="preserve"> </w:t>
      </w:r>
      <w:r w:rsidR="0067135B">
        <w:t>particularités</w:t>
      </w:r>
      <w:r w:rsidR="00267BE4" w:rsidRPr="00817A34">
        <w:t xml:space="preserve"> </w:t>
      </w:r>
      <w:r w:rsidR="003A6C5A" w:rsidRPr="00817A34">
        <w:t>des régions plus touchées</w:t>
      </w:r>
      <w:r w:rsidR="00267BE4" w:rsidRPr="00817A34">
        <w:t xml:space="preserve"> </w:t>
      </w:r>
      <w:r w:rsidR="00AE09F3" w:rsidRPr="00817A34">
        <w:t xml:space="preserve">(art. 11). </w:t>
      </w:r>
    </w:p>
    <w:p w14:paraId="348BD1E3" w14:textId="5AC770B1" w:rsidR="008F6EFA" w:rsidRPr="00817A34" w:rsidRDefault="00CE2668" w:rsidP="004969DA">
      <w:pPr>
        <w:pStyle w:val="SingleTxtG"/>
        <w:tabs>
          <w:tab w:val="left" w:pos="720"/>
        </w:tabs>
        <w:rPr>
          <w:b/>
          <w:bCs/>
          <w:lang w:val="fr-FR"/>
        </w:rPr>
      </w:pPr>
      <w:bookmarkStart w:id="1" w:name="_Hlk148096300"/>
      <w:r w:rsidRPr="00AB261D">
        <w:t>3</w:t>
      </w:r>
      <w:r>
        <w:t>9</w:t>
      </w:r>
      <w:r w:rsidR="00A9267E" w:rsidRPr="00AB261D">
        <w:t>.</w:t>
      </w:r>
      <w:r w:rsidR="00A9267E" w:rsidRPr="00AB261D">
        <w:tab/>
      </w:r>
      <w:r w:rsidR="008F6EFA" w:rsidRPr="00817A34">
        <w:rPr>
          <w:b/>
          <w:bCs/>
        </w:rPr>
        <w:t>Le Comité recommande à l’État partie d</w:t>
      </w:r>
      <w:r w:rsidR="00AE09F3" w:rsidRPr="00817A34">
        <w:rPr>
          <w:b/>
          <w:bCs/>
        </w:rPr>
        <w:t xml:space="preserve">e réviser et adapter sa </w:t>
      </w:r>
      <w:r w:rsidR="008F6EFA" w:rsidRPr="00817A34">
        <w:rPr>
          <w:b/>
          <w:bCs/>
        </w:rPr>
        <w:t>stratégie nationale de prévention</w:t>
      </w:r>
      <w:bookmarkEnd w:id="1"/>
      <w:r w:rsidR="008F6EFA" w:rsidRPr="00817A34">
        <w:rPr>
          <w:b/>
          <w:bCs/>
        </w:rPr>
        <w:t xml:space="preserve"> et de lutte contre la pauvreté</w:t>
      </w:r>
      <w:r w:rsidR="00AE09F3" w:rsidRPr="00817A34">
        <w:rPr>
          <w:b/>
          <w:bCs/>
        </w:rPr>
        <w:t xml:space="preserve"> en s’assurant </w:t>
      </w:r>
      <w:r w:rsidR="008F6EFA" w:rsidRPr="00817A34">
        <w:rPr>
          <w:b/>
          <w:bCs/>
        </w:rPr>
        <w:t xml:space="preserve">que celle-ci soit centrée sur les personnes et les groupes les plus touchés, et soit mise en œuvre selon une approche fondée sur les droits de l’homme. Il lui recommande également de consacrer des ressources suffisantes </w:t>
      </w:r>
      <w:r w:rsidR="00A9267E" w:rsidRPr="00817A34">
        <w:rPr>
          <w:b/>
          <w:bCs/>
        </w:rPr>
        <w:t>pour</w:t>
      </w:r>
      <w:r w:rsidR="008F6EFA" w:rsidRPr="00817A34">
        <w:rPr>
          <w:b/>
          <w:bCs/>
        </w:rPr>
        <w:t xml:space="preserve"> </w:t>
      </w:r>
      <w:r w:rsidR="00A9267E" w:rsidRPr="00817A34">
        <w:rPr>
          <w:b/>
          <w:bCs/>
        </w:rPr>
        <w:t xml:space="preserve">son </w:t>
      </w:r>
      <w:r w:rsidR="008F6EFA" w:rsidRPr="00817A34">
        <w:rPr>
          <w:b/>
          <w:bCs/>
        </w:rPr>
        <w:t>application.</w:t>
      </w:r>
      <w:r w:rsidR="004969DA" w:rsidRPr="00817A34">
        <w:rPr>
          <w:b/>
          <w:bCs/>
        </w:rPr>
        <w:t xml:space="preserve"> Le Comité rappelle à l’</w:t>
      </w:r>
      <w:r w:rsidR="00507DAF">
        <w:rPr>
          <w:b/>
          <w:bCs/>
        </w:rPr>
        <w:t>É</w:t>
      </w:r>
      <w:r w:rsidR="004969DA" w:rsidRPr="00817A34">
        <w:rPr>
          <w:b/>
          <w:bCs/>
        </w:rPr>
        <w:t>tat partie sa recommandation précédente</w:t>
      </w:r>
      <w:r w:rsidR="00420CC4">
        <w:rPr>
          <w:rStyle w:val="Appelnotedebasdep"/>
          <w:b/>
          <w:bCs/>
        </w:rPr>
        <w:footnoteReference w:id="12"/>
      </w:r>
      <w:r w:rsidR="004969DA" w:rsidRPr="00817A34">
        <w:rPr>
          <w:b/>
          <w:bCs/>
        </w:rPr>
        <w:t xml:space="preserve"> et lui recommande de s’attaquer en priorité à la pauvreté et l’extrême pauvreté dans les territoires d’outre-mer, notamment à Mayotte, en veillant à ce que les </w:t>
      </w:r>
      <w:r w:rsidR="004969DA" w:rsidRPr="00817A34">
        <w:rPr>
          <w:b/>
          <w:bCs/>
        </w:rPr>
        <w:lastRenderedPageBreak/>
        <w:t xml:space="preserve">personnes vivant dans l’extrême </w:t>
      </w:r>
      <w:r w:rsidR="00A9267E" w:rsidRPr="00817A34">
        <w:rPr>
          <w:b/>
          <w:bCs/>
        </w:rPr>
        <w:t>pauvret</w:t>
      </w:r>
      <w:r w:rsidR="004969DA" w:rsidRPr="00817A34">
        <w:rPr>
          <w:b/>
          <w:bCs/>
        </w:rPr>
        <w:t>é aient accès aux prestations sociales adéquates.</w:t>
      </w:r>
      <w:r w:rsidR="008F6EFA" w:rsidRPr="00817A34">
        <w:rPr>
          <w:b/>
          <w:bCs/>
        </w:rPr>
        <w:t xml:space="preserve"> Le Comité appelle l’attention de l’État partie sur la Déclaration sur la pauvreté et le Pacte international relatif aux droits économiques, sociaux et culturels, qu’il a adoptée en 2001.</w:t>
      </w:r>
    </w:p>
    <w:p w14:paraId="57B3927B" w14:textId="37DB4A15" w:rsidR="00866BC8" w:rsidRPr="00817A34" w:rsidRDefault="00866BC8" w:rsidP="00AB261D">
      <w:pPr>
        <w:pStyle w:val="H23G"/>
        <w:tabs>
          <w:tab w:val="clear" w:pos="720"/>
          <w:tab w:val="clear" w:pos="851"/>
        </w:tabs>
        <w:ind w:left="1134"/>
      </w:pPr>
      <w:r w:rsidRPr="00817A34">
        <w:t xml:space="preserve">Droit à l’alimentation </w:t>
      </w:r>
    </w:p>
    <w:p w14:paraId="72B5D5ED" w14:textId="303B1A55" w:rsidR="00615A94" w:rsidRPr="00817A34" w:rsidRDefault="00CE2668" w:rsidP="00B03866">
      <w:pPr>
        <w:pStyle w:val="SingleTxtG"/>
        <w:tabs>
          <w:tab w:val="left" w:pos="720"/>
        </w:tabs>
      </w:pPr>
      <w:r>
        <w:t>40</w:t>
      </w:r>
      <w:r w:rsidR="00A9267E" w:rsidRPr="00817A34">
        <w:t>.</w:t>
      </w:r>
      <w:r w:rsidR="00A9267E" w:rsidRPr="00817A34">
        <w:tab/>
      </w:r>
      <w:r w:rsidR="00615A94" w:rsidRPr="00817A34">
        <w:t xml:space="preserve">Le Comité </w:t>
      </w:r>
      <w:r w:rsidR="00C25710" w:rsidRPr="00817A34">
        <w:t xml:space="preserve">prend note des mesures adoptées pour garantir le droit à l’alimentation, notamment le Programme national </w:t>
      </w:r>
      <w:r w:rsidR="00B03866" w:rsidRPr="00817A34">
        <w:t>nutrition santé et la Stratégie internationale pour la sécurité alimentaire, la nutrition et l’agriculture (2019-2024). Le Comité est</w:t>
      </w:r>
      <w:r w:rsidR="00A9267E" w:rsidRPr="00817A34">
        <w:t>,</w:t>
      </w:r>
      <w:r w:rsidR="00B03866" w:rsidRPr="00817A34">
        <w:t xml:space="preserve"> néanmoins</w:t>
      </w:r>
      <w:r w:rsidR="00A9267E" w:rsidRPr="00817A34">
        <w:t>,</w:t>
      </w:r>
      <w:r w:rsidR="00B03866" w:rsidRPr="00817A34">
        <w:t xml:space="preserve"> préoccupé par l’absence de données précises sur l’étendue de l’insécurité alimentaire</w:t>
      </w:r>
      <w:r w:rsidR="00507DAF">
        <w:t xml:space="preserve"> dans l’État partie</w:t>
      </w:r>
      <w:r w:rsidR="00B03866" w:rsidRPr="00817A34">
        <w:t xml:space="preserve">, et par l’absence d’une </w:t>
      </w:r>
      <w:r w:rsidR="00267BE4" w:rsidRPr="00817A34">
        <w:t xml:space="preserve">loi-cadre et </w:t>
      </w:r>
      <w:r w:rsidR="007E1062">
        <w:t>d’</w:t>
      </w:r>
      <w:r w:rsidR="00267BE4" w:rsidRPr="00817A34">
        <w:t xml:space="preserve">une </w:t>
      </w:r>
      <w:r w:rsidR="00B03866" w:rsidRPr="00817A34">
        <w:t>politique globale et multidimensionnelle sur le droit à l’alimentation</w:t>
      </w:r>
      <w:r w:rsidR="007E1062">
        <w:t xml:space="preserve"> qui lutte contre toutes </w:t>
      </w:r>
      <w:r w:rsidR="00507DAF">
        <w:t>l</w:t>
      </w:r>
      <w:r w:rsidR="007E1062">
        <w:t>es formes de malnutrition</w:t>
      </w:r>
      <w:r w:rsidR="00B03866" w:rsidRPr="00817A34">
        <w:t xml:space="preserve"> (art. 11). </w:t>
      </w:r>
    </w:p>
    <w:p w14:paraId="57DD71E0" w14:textId="666DF529" w:rsidR="00615A94" w:rsidRPr="00817A34" w:rsidRDefault="00CE2668" w:rsidP="003E3FF6">
      <w:pPr>
        <w:pStyle w:val="SingleTxtG"/>
        <w:tabs>
          <w:tab w:val="left" w:pos="720"/>
        </w:tabs>
        <w:rPr>
          <w:lang w:val="fr-FR" w:eastAsia="zh-CN"/>
        </w:rPr>
      </w:pPr>
      <w:r>
        <w:t>41</w:t>
      </w:r>
      <w:r w:rsidR="00A9267E" w:rsidRPr="00AB261D">
        <w:t>.</w:t>
      </w:r>
      <w:r w:rsidR="00A9267E" w:rsidRPr="00AB261D">
        <w:tab/>
      </w:r>
      <w:r w:rsidR="00267BE4" w:rsidRPr="00817A34">
        <w:rPr>
          <w:b/>
          <w:bCs/>
        </w:rPr>
        <w:t xml:space="preserve">Le Comité </w:t>
      </w:r>
      <w:r w:rsidR="00571422" w:rsidRPr="00817A34">
        <w:rPr>
          <w:b/>
          <w:bCs/>
        </w:rPr>
        <w:t>recommande</w:t>
      </w:r>
      <w:r w:rsidR="00267BE4" w:rsidRPr="00817A34">
        <w:rPr>
          <w:b/>
          <w:bCs/>
        </w:rPr>
        <w:t xml:space="preserve"> </w:t>
      </w:r>
      <w:r w:rsidR="007E1062">
        <w:rPr>
          <w:b/>
          <w:bCs/>
        </w:rPr>
        <w:t xml:space="preserve">à </w:t>
      </w:r>
      <w:r w:rsidR="00267BE4" w:rsidRPr="00817A34">
        <w:rPr>
          <w:b/>
          <w:bCs/>
        </w:rPr>
        <w:t>l’</w:t>
      </w:r>
      <w:r w:rsidR="00507DAF">
        <w:rPr>
          <w:b/>
          <w:bCs/>
        </w:rPr>
        <w:t>É</w:t>
      </w:r>
      <w:r w:rsidR="00267BE4" w:rsidRPr="00817A34">
        <w:rPr>
          <w:b/>
          <w:bCs/>
        </w:rPr>
        <w:t xml:space="preserve">tat partie </w:t>
      </w:r>
      <w:r w:rsidR="00571422" w:rsidRPr="00817A34">
        <w:rPr>
          <w:b/>
          <w:bCs/>
        </w:rPr>
        <w:t xml:space="preserve">d’adopter </w:t>
      </w:r>
      <w:r w:rsidR="00267BE4" w:rsidRPr="00817A34">
        <w:rPr>
          <w:b/>
          <w:bCs/>
        </w:rPr>
        <w:t>une loi-cadre sur le droit à l’alimentation.</w:t>
      </w:r>
      <w:r w:rsidR="00267BE4" w:rsidRPr="00817A34">
        <w:t xml:space="preserve"> </w:t>
      </w:r>
      <w:r w:rsidR="00267BE4" w:rsidRPr="00817A34">
        <w:rPr>
          <w:b/>
          <w:bCs/>
        </w:rPr>
        <w:t>Il lui</w:t>
      </w:r>
      <w:r w:rsidR="00615A94" w:rsidRPr="00817A34">
        <w:rPr>
          <w:b/>
          <w:bCs/>
        </w:rPr>
        <w:t xml:space="preserve"> recommande </w:t>
      </w:r>
      <w:r w:rsidR="00267BE4" w:rsidRPr="00817A34">
        <w:rPr>
          <w:b/>
          <w:bCs/>
        </w:rPr>
        <w:t xml:space="preserve">également </w:t>
      </w:r>
      <w:r w:rsidR="00615A94" w:rsidRPr="00817A34">
        <w:rPr>
          <w:b/>
          <w:bCs/>
        </w:rPr>
        <w:t>d’élaborer</w:t>
      </w:r>
      <w:r w:rsidR="003E3FF6" w:rsidRPr="00817A34">
        <w:rPr>
          <w:b/>
          <w:bCs/>
        </w:rPr>
        <w:t>, en concertation avec les acteurs concernés,</w:t>
      </w:r>
      <w:r w:rsidR="00615A94" w:rsidRPr="00817A34">
        <w:rPr>
          <w:b/>
          <w:bCs/>
        </w:rPr>
        <w:t xml:space="preserve"> une stratégie nationale globale de protection et de promotion du droit à une alimentation </w:t>
      </w:r>
      <w:r w:rsidR="003E3FF6" w:rsidRPr="00817A34">
        <w:rPr>
          <w:b/>
          <w:bCs/>
        </w:rPr>
        <w:t>adéquate</w:t>
      </w:r>
      <w:r w:rsidR="00615A94" w:rsidRPr="00817A34">
        <w:rPr>
          <w:b/>
          <w:bCs/>
        </w:rPr>
        <w:t xml:space="preserve"> </w:t>
      </w:r>
      <w:r w:rsidR="003E3FF6" w:rsidRPr="00817A34">
        <w:rPr>
          <w:b/>
          <w:bCs/>
        </w:rPr>
        <w:t xml:space="preserve">en vue de lutter </w:t>
      </w:r>
      <w:r w:rsidR="007E1062">
        <w:rPr>
          <w:b/>
          <w:bCs/>
        </w:rPr>
        <w:t xml:space="preserve">de manière efficace </w:t>
      </w:r>
      <w:r w:rsidR="003E3FF6" w:rsidRPr="00817A34">
        <w:rPr>
          <w:b/>
          <w:bCs/>
        </w:rPr>
        <w:t xml:space="preserve">contre l’insécurité alimentaire, </w:t>
      </w:r>
      <w:r w:rsidR="007E1062">
        <w:rPr>
          <w:b/>
          <w:bCs/>
        </w:rPr>
        <w:t xml:space="preserve">toutes les formes de </w:t>
      </w:r>
      <w:r w:rsidR="003E3FF6" w:rsidRPr="00817A34">
        <w:rPr>
          <w:b/>
          <w:bCs/>
        </w:rPr>
        <w:t>malnutrition</w:t>
      </w:r>
      <w:r w:rsidR="007E1062">
        <w:rPr>
          <w:b/>
          <w:bCs/>
        </w:rPr>
        <w:t xml:space="preserve">, y compris </w:t>
      </w:r>
      <w:r w:rsidR="003E3FF6" w:rsidRPr="00817A34">
        <w:rPr>
          <w:b/>
          <w:bCs/>
        </w:rPr>
        <w:t>l’obésité</w:t>
      </w:r>
      <w:r w:rsidR="007E1062">
        <w:rPr>
          <w:b/>
          <w:bCs/>
        </w:rPr>
        <w:t xml:space="preserve">, ainsi </w:t>
      </w:r>
      <w:r w:rsidR="000D463C">
        <w:rPr>
          <w:b/>
          <w:bCs/>
        </w:rPr>
        <w:t xml:space="preserve">que contre </w:t>
      </w:r>
      <w:r w:rsidR="007E1062">
        <w:rPr>
          <w:b/>
          <w:bCs/>
        </w:rPr>
        <w:t xml:space="preserve">les problèmes de santé liés à la mauvaise alimentation. Il lui recommande </w:t>
      </w:r>
      <w:r w:rsidR="003E3FF6" w:rsidRPr="00817A34">
        <w:rPr>
          <w:b/>
          <w:bCs/>
        </w:rPr>
        <w:t xml:space="preserve">notamment </w:t>
      </w:r>
      <w:r w:rsidR="007E1062">
        <w:rPr>
          <w:b/>
          <w:bCs/>
        </w:rPr>
        <w:t>d’inclure dans cette stratégie d</w:t>
      </w:r>
      <w:r w:rsidR="003E3FF6" w:rsidRPr="00817A34">
        <w:rPr>
          <w:b/>
          <w:bCs/>
        </w:rPr>
        <w:t>es programmes visant à promouvoir des régimes alimentaires plus sains, en intégrant des aspects liés au commerce, à l’aménagement du territoire, à l’éducation et à la politique budgétaire, fixant des objectifs clairs et assortis de délais et établissant des mécanismes appropriés pour évaluer les progrès accomplis. </w:t>
      </w:r>
      <w:r w:rsidR="00267BE4" w:rsidRPr="00817A34" w:rsidDel="00267BE4">
        <w:rPr>
          <w:b/>
          <w:bCs/>
        </w:rPr>
        <w:t xml:space="preserve"> </w:t>
      </w:r>
      <w:r w:rsidR="00615A94" w:rsidRPr="00817A34">
        <w:rPr>
          <w:b/>
          <w:bCs/>
        </w:rPr>
        <w:t xml:space="preserve">Le Comité </w:t>
      </w:r>
      <w:r w:rsidR="007E1062">
        <w:rPr>
          <w:b/>
          <w:bCs/>
        </w:rPr>
        <w:t>renvoie</w:t>
      </w:r>
      <w:r w:rsidR="007E1062" w:rsidRPr="00817A34">
        <w:rPr>
          <w:b/>
          <w:bCs/>
        </w:rPr>
        <w:t xml:space="preserve"> </w:t>
      </w:r>
      <w:r w:rsidR="00615A94" w:rsidRPr="00817A34">
        <w:rPr>
          <w:b/>
          <w:bCs/>
        </w:rPr>
        <w:t xml:space="preserve">l’État partie à son observation générale </w:t>
      </w:r>
      <w:r w:rsidR="003E3FF6" w:rsidRPr="00817A34">
        <w:rPr>
          <w:b/>
          <w:bCs/>
        </w:rPr>
        <w:t>N°</w:t>
      </w:r>
      <w:r w:rsidR="00615A94" w:rsidRPr="00817A34">
        <w:rPr>
          <w:b/>
          <w:bCs/>
        </w:rPr>
        <w:t xml:space="preserve">12 (1999) </w:t>
      </w:r>
      <w:r w:rsidR="007E1062">
        <w:rPr>
          <w:b/>
          <w:bCs/>
        </w:rPr>
        <w:t>sur</w:t>
      </w:r>
      <w:r w:rsidR="007E1062" w:rsidRPr="00817A34">
        <w:rPr>
          <w:b/>
          <w:bCs/>
        </w:rPr>
        <w:t xml:space="preserve"> </w:t>
      </w:r>
      <w:r w:rsidR="00615A94" w:rsidRPr="00817A34">
        <w:rPr>
          <w:b/>
          <w:bCs/>
        </w:rPr>
        <w:t>le droit à une alimentation suffisante et aux Directives volontaires à l’appui de la concrétisation progressive du droit à une alimentation adéquate dans le contexte de la sécurité alimentaire nationale, adoptées par l’Organisation des Nations Unies pour l’alimentation et l’agriculture</w:t>
      </w:r>
      <w:r w:rsidR="00615A94" w:rsidRPr="00817A34">
        <w:t>.</w:t>
      </w:r>
    </w:p>
    <w:p w14:paraId="6F49C6E8" w14:textId="0A32BE1A" w:rsidR="00EC47B1" w:rsidRPr="00817A34" w:rsidRDefault="00EC47B1" w:rsidP="00AB261D">
      <w:pPr>
        <w:pStyle w:val="H23G"/>
        <w:tabs>
          <w:tab w:val="clear" w:pos="720"/>
          <w:tab w:val="clear" w:pos="851"/>
        </w:tabs>
        <w:ind w:left="1134"/>
        <w:rPr>
          <w:b w:val="0"/>
          <w:bCs/>
        </w:rPr>
      </w:pPr>
      <w:r w:rsidRPr="00817A34">
        <w:t xml:space="preserve">Droit à un logement convenable </w:t>
      </w:r>
    </w:p>
    <w:p w14:paraId="693E3935" w14:textId="23630E46" w:rsidR="00AA206E" w:rsidRPr="00817A34" w:rsidRDefault="00CE2668" w:rsidP="00EC47B1">
      <w:pPr>
        <w:pStyle w:val="SingleTxtG"/>
        <w:tabs>
          <w:tab w:val="left" w:pos="720"/>
        </w:tabs>
        <w:rPr>
          <w:lang w:val="fr-FR"/>
        </w:rPr>
      </w:pPr>
      <w:r w:rsidRPr="00817A34">
        <w:rPr>
          <w:lang w:val="fr-FR"/>
        </w:rPr>
        <w:t>4</w:t>
      </w:r>
      <w:r>
        <w:rPr>
          <w:lang w:val="fr-FR"/>
        </w:rPr>
        <w:t>2</w:t>
      </w:r>
      <w:r w:rsidR="00EC47B1" w:rsidRPr="00817A34">
        <w:rPr>
          <w:lang w:val="fr-FR"/>
        </w:rPr>
        <w:t xml:space="preserve">. </w:t>
      </w:r>
      <w:r w:rsidR="00EC47B1" w:rsidRPr="00817A34">
        <w:rPr>
          <w:lang w:val="fr-FR"/>
        </w:rPr>
        <w:tab/>
      </w:r>
      <w:r w:rsidR="00AA206E" w:rsidRPr="00817A34">
        <w:rPr>
          <w:lang w:val="fr-FR"/>
        </w:rPr>
        <w:t xml:space="preserve">Bien que le </w:t>
      </w:r>
      <w:r w:rsidR="00EC47B1" w:rsidRPr="00817A34">
        <w:rPr>
          <w:lang w:val="fr-FR"/>
        </w:rPr>
        <w:t>Comité</w:t>
      </w:r>
      <w:r w:rsidR="00AA206E" w:rsidRPr="00817A34">
        <w:rPr>
          <w:lang w:val="fr-FR"/>
        </w:rPr>
        <w:t xml:space="preserve"> </w:t>
      </w:r>
      <w:r w:rsidR="008E6C1A" w:rsidRPr="00817A34">
        <w:rPr>
          <w:lang w:val="fr-FR"/>
        </w:rPr>
        <w:t>prenne</w:t>
      </w:r>
      <w:r w:rsidR="00AA206E" w:rsidRPr="00817A34">
        <w:rPr>
          <w:lang w:val="fr-FR"/>
        </w:rPr>
        <w:t xml:space="preserve"> note des mesures adoptées par l’</w:t>
      </w:r>
      <w:r w:rsidR="00507DAF">
        <w:rPr>
          <w:lang w:val="fr-FR"/>
        </w:rPr>
        <w:t>É</w:t>
      </w:r>
      <w:r w:rsidR="00AA206E" w:rsidRPr="00817A34">
        <w:rPr>
          <w:lang w:val="fr-FR"/>
        </w:rPr>
        <w:t>tat partie visant à la réalisation du droit au logement, il</w:t>
      </w:r>
      <w:r w:rsidR="00EC47B1" w:rsidRPr="00817A34">
        <w:rPr>
          <w:lang w:val="fr-FR"/>
        </w:rPr>
        <w:t xml:space="preserve"> </w:t>
      </w:r>
      <w:r w:rsidR="00AA206E" w:rsidRPr="00817A34">
        <w:rPr>
          <w:lang w:val="fr-FR"/>
        </w:rPr>
        <w:t xml:space="preserve">réitère sa préoccupation face </w:t>
      </w:r>
      <w:r w:rsidR="0047651B" w:rsidRPr="00817A34">
        <w:rPr>
          <w:lang w:val="fr-FR"/>
        </w:rPr>
        <w:t xml:space="preserve">à la pénurie </w:t>
      </w:r>
      <w:r w:rsidR="007E1062" w:rsidRPr="00817A34">
        <w:rPr>
          <w:lang w:val="fr-FR"/>
        </w:rPr>
        <w:t xml:space="preserve">persistante </w:t>
      </w:r>
      <w:r w:rsidR="0047651B" w:rsidRPr="00817A34">
        <w:rPr>
          <w:lang w:val="fr-FR"/>
        </w:rPr>
        <w:t>de logements convenables</w:t>
      </w:r>
      <w:r w:rsidR="00AA206E" w:rsidRPr="00817A34">
        <w:rPr>
          <w:lang w:val="fr-FR"/>
        </w:rPr>
        <w:t xml:space="preserve">. Le Comité est particulièrement préoccupé par : </w:t>
      </w:r>
    </w:p>
    <w:p w14:paraId="14D74AE7" w14:textId="2BB99A5F" w:rsidR="008E6C1A" w:rsidRPr="00817A34" w:rsidRDefault="0008136D" w:rsidP="00AB261D">
      <w:pPr>
        <w:pStyle w:val="SingleTxtG"/>
        <w:numPr>
          <w:ilvl w:val="0"/>
          <w:numId w:val="27"/>
        </w:numPr>
        <w:tabs>
          <w:tab w:val="left" w:pos="720"/>
        </w:tabs>
        <w:ind w:left="1134" w:firstLine="567"/>
        <w:rPr>
          <w:lang w:val="fr-FR"/>
        </w:rPr>
      </w:pPr>
      <w:r w:rsidRPr="00817A34">
        <w:rPr>
          <w:lang w:val="fr-FR"/>
        </w:rPr>
        <w:t>L’insuffisance de logements abordables et de</w:t>
      </w:r>
      <w:r w:rsidR="007E1062">
        <w:rPr>
          <w:lang w:val="fr-FR"/>
        </w:rPr>
        <w:t xml:space="preserve"> </w:t>
      </w:r>
      <w:r w:rsidRPr="00817A34">
        <w:rPr>
          <w:lang w:val="fr-FR"/>
        </w:rPr>
        <w:t xml:space="preserve">logements sociaux, </w:t>
      </w:r>
      <w:r w:rsidR="007E1062">
        <w:rPr>
          <w:lang w:val="fr-FR"/>
        </w:rPr>
        <w:t>et de</w:t>
      </w:r>
      <w:r w:rsidRPr="00817A34">
        <w:rPr>
          <w:lang w:val="fr-FR"/>
        </w:rPr>
        <w:t xml:space="preserve"> </w:t>
      </w:r>
      <w:r w:rsidR="00F3248E" w:rsidRPr="00817A34">
        <w:rPr>
          <w:lang w:val="fr-FR"/>
        </w:rPr>
        <w:t>l’insuffisance de capacité des hébergements d’urgence pour combler les besoins des groupes plus défavorisés et marginalisés</w:t>
      </w:r>
      <w:r w:rsidRPr="00817A34">
        <w:rPr>
          <w:lang w:val="fr-FR"/>
        </w:rPr>
        <w:t xml:space="preserve"> ; </w:t>
      </w:r>
    </w:p>
    <w:p w14:paraId="6DE6B809" w14:textId="77777777" w:rsidR="005B6687" w:rsidRPr="00817A34" w:rsidRDefault="00F3248E" w:rsidP="00AB261D">
      <w:pPr>
        <w:pStyle w:val="SingleTxtG"/>
        <w:numPr>
          <w:ilvl w:val="0"/>
          <w:numId w:val="27"/>
        </w:numPr>
        <w:tabs>
          <w:tab w:val="left" w:pos="720"/>
        </w:tabs>
        <w:ind w:left="1134" w:firstLine="567"/>
        <w:rPr>
          <w:lang w:val="fr-FR"/>
        </w:rPr>
      </w:pPr>
      <w:r w:rsidRPr="00817A34">
        <w:rPr>
          <w:lang w:val="fr-FR"/>
        </w:rPr>
        <w:t>Le</w:t>
      </w:r>
      <w:r w:rsidR="005B6687" w:rsidRPr="00817A34">
        <w:rPr>
          <w:lang w:val="fr-FR"/>
        </w:rPr>
        <w:t xml:space="preserve">s mauvaises conditions des logements dans certaines zones urbaines défavorisées ; </w:t>
      </w:r>
    </w:p>
    <w:p w14:paraId="1516E034" w14:textId="682CBAFB" w:rsidR="005B6687" w:rsidRPr="00817A34" w:rsidRDefault="005B6687" w:rsidP="00AB261D">
      <w:pPr>
        <w:pStyle w:val="SingleTxtG"/>
        <w:numPr>
          <w:ilvl w:val="0"/>
          <w:numId w:val="27"/>
        </w:numPr>
        <w:tabs>
          <w:tab w:val="left" w:pos="720"/>
        </w:tabs>
        <w:ind w:left="1134" w:firstLine="567"/>
        <w:rPr>
          <w:lang w:val="fr-FR"/>
        </w:rPr>
      </w:pPr>
      <w:r w:rsidRPr="00817A34">
        <w:rPr>
          <w:lang w:val="fr-FR"/>
        </w:rPr>
        <w:t xml:space="preserve">Le nombre élevé des personnes sans-abri, ainsi que des personnes vivant dans des </w:t>
      </w:r>
      <w:r w:rsidR="009A1D9C" w:rsidRPr="00817A34">
        <w:rPr>
          <w:lang w:val="fr-FR"/>
        </w:rPr>
        <w:t xml:space="preserve">lieux de vie informels </w:t>
      </w:r>
      <w:r w:rsidRPr="00817A34">
        <w:rPr>
          <w:lang w:val="fr-FR"/>
        </w:rPr>
        <w:t xml:space="preserve">dans des conditions de vie déplorables, notamment les Roms ; </w:t>
      </w:r>
    </w:p>
    <w:p w14:paraId="4A134219" w14:textId="4B5B04B7" w:rsidR="00C53963" w:rsidRPr="00817A34" w:rsidRDefault="005B6687" w:rsidP="00AB261D">
      <w:pPr>
        <w:pStyle w:val="SingleTxtG"/>
        <w:numPr>
          <w:ilvl w:val="0"/>
          <w:numId w:val="27"/>
        </w:numPr>
        <w:tabs>
          <w:tab w:val="left" w:pos="720"/>
        </w:tabs>
        <w:ind w:left="1134" w:firstLine="567"/>
        <w:rPr>
          <w:lang w:val="fr-FR"/>
        </w:rPr>
      </w:pPr>
      <w:r w:rsidRPr="00817A34">
        <w:rPr>
          <w:lang w:val="fr-FR"/>
        </w:rPr>
        <w:t>Le</w:t>
      </w:r>
      <w:r w:rsidR="00C53963" w:rsidRPr="00817A34">
        <w:rPr>
          <w:lang w:val="fr-FR"/>
        </w:rPr>
        <w:t xml:space="preserve"> nombre insuffisant et les conditions de vie des aires d’accueil pour les gens du voyage, situés souvent dans des zones insalubres en dehors de</w:t>
      </w:r>
      <w:r w:rsidR="00F96814">
        <w:rPr>
          <w:lang w:val="fr-FR"/>
        </w:rPr>
        <w:t>s</w:t>
      </w:r>
      <w:r w:rsidR="00C53963" w:rsidRPr="00817A34">
        <w:rPr>
          <w:lang w:val="fr-FR"/>
        </w:rPr>
        <w:t xml:space="preserve"> villes sans accès à des services de base, tel que l’eau et l’assainissement ; </w:t>
      </w:r>
    </w:p>
    <w:p w14:paraId="26FD72EB" w14:textId="30E21527" w:rsidR="0008136D" w:rsidRPr="00817A34" w:rsidRDefault="00C53963" w:rsidP="00AB261D">
      <w:pPr>
        <w:pStyle w:val="SingleTxtG"/>
        <w:numPr>
          <w:ilvl w:val="0"/>
          <w:numId w:val="27"/>
        </w:numPr>
        <w:tabs>
          <w:tab w:val="left" w:pos="720"/>
        </w:tabs>
        <w:ind w:left="1134" w:firstLine="567"/>
        <w:rPr>
          <w:lang w:val="fr-FR"/>
        </w:rPr>
      </w:pPr>
      <w:r w:rsidRPr="00817A34">
        <w:rPr>
          <w:lang w:val="fr-FR"/>
        </w:rPr>
        <w:t xml:space="preserve">L’absence de reconnaissance de la caravane comme logement, ce qui entrave l’accès à certains droits pour les gens du voyage, y compris l’accès à l’éducation ; </w:t>
      </w:r>
    </w:p>
    <w:p w14:paraId="6C524598" w14:textId="73FD8824" w:rsidR="00C44ECB" w:rsidRPr="00817A34" w:rsidRDefault="00C44ECB" w:rsidP="00AB261D">
      <w:pPr>
        <w:pStyle w:val="SingleTxtG"/>
        <w:numPr>
          <w:ilvl w:val="0"/>
          <w:numId w:val="27"/>
        </w:numPr>
        <w:tabs>
          <w:tab w:val="left" w:pos="720"/>
        </w:tabs>
        <w:ind w:left="1134" w:firstLine="567"/>
        <w:rPr>
          <w:lang w:val="fr-FR"/>
        </w:rPr>
      </w:pPr>
      <w:r w:rsidRPr="00817A34">
        <w:rPr>
          <w:lang w:val="fr-FR" w:eastAsia="zh-CN"/>
        </w:rPr>
        <w:t xml:space="preserve">Les </w:t>
      </w:r>
      <w:r w:rsidRPr="00817A34">
        <w:t>conditions</w:t>
      </w:r>
      <w:r w:rsidRPr="00817A34">
        <w:rPr>
          <w:lang w:val="fr-FR" w:eastAsia="zh-CN"/>
        </w:rPr>
        <w:t xml:space="preserve"> de vie déplorables des migrants et demandeurs d’asile dans les campements informels, sans accès </w:t>
      </w:r>
      <w:r w:rsidRPr="00817A34">
        <w:t>à l’eau, à l’assainissement, à une alimentation adéquate et à des services de santé ;</w:t>
      </w:r>
    </w:p>
    <w:p w14:paraId="029E224A" w14:textId="034EFE11" w:rsidR="001E7C7A" w:rsidRPr="009C1666" w:rsidRDefault="001E7C7A" w:rsidP="00AB261D">
      <w:pPr>
        <w:pStyle w:val="SingleTxtG"/>
        <w:numPr>
          <w:ilvl w:val="0"/>
          <w:numId w:val="27"/>
        </w:numPr>
        <w:tabs>
          <w:tab w:val="left" w:pos="720"/>
        </w:tabs>
        <w:ind w:left="1134" w:firstLine="567"/>
        <w:rPr>
          <w:lang w:val="fr-FR"/>
        </w:rPr>
      </w:pPr>
      <w:r w:rsidRPr="008B32B5">
        <w:rPr>
          <w:lang w:val="fr-FR"/>
        </w:rPr>
        <w:t>L</w:t>
      </w:r>
      <w:r w:rsidR="00507DAF">
        <w:rPr>
          <w:lang w:val="fr-FR"/>
        </w:rPr>
        <w:t>a</w:t>
      </w:r>
      <w:r w:rsidRPr="008B32B5">
        <w:rPr>
          <w:lang w:val="fr-FR"/>
        </w:rPr>
        <w:t xml:space="preserve"> discrimination </w:t>
      </w:r>
      <w:r w:rsidR="00507DAF">
        <w:rPr>
          <w:lang w:val="fr-FR"/>
        </w:rPr>
        <w:t>à laquelle</w:t>
      </w:r>
      <w:r w:rsidRPr="008B32B5">
        <w:rPr>
          <w:lang w:val="fr-FR"/>
        </w:rPr>
        <w:t xml:space="preserve"> sont exposées </w:t>
      </w:r>
      <w:r w:rsidR="00507DAF">
        <w:rPr>
          <w:lang w:val="fr-FR"/>
        </w:rPr>
        <w:t>l</w:t>
      </w:r>
      <w:r w:rsidRPr="008B32B5">
        <w:rPr>
          <w:lang w:val="fr-FR"/>
        </w:rPr>
        <w:t>es personnes issues de l’immigration notamment nord-africaine et subsaharienne et les difficultés qu’elles rencontrent pour accéder au logement</w:t>
      </w:r>
      <w:r>
        <w:rPr>
          <w:lang w:val="fr-FR"/>
        </w:rPr>
        <w:t> </w:t>
      </w:r>
      <w:r>
        <w:t xml:space="preserve">; </w:t>
      </w:r>
    </w:p>
    <w:p w14:paraId="28E93A97" w14:textId="25232875" w:rsidR="00C53963" w:rsidRPr="001E7C7A" w:rsidRDefault="00933E6A" w:rsidP="00AB261D">
      <w:pPr>
        <w:pStyle w:val="SingleTxtG"/>
        <w:numPr>
          <w:ilvl w:val="0"/>
          <w:numId w:val="27"/>
        </w:numPr>
        <w:tabs>
          <w:tab w:val="left" w:pos="720"/>
        </w:tabs>
        <w:ind w:left="1134" w:firstLine="567"/>
        <w:rPr>
          <w:lang w:val="fr-FR"/>
        </w:rPr>
      </w:pPr>
      <w:r w:rsidRPr="00817A34">
        <w:t>Le</w:t>
      </w:r>
      <w:r w:rsidR="0047651B" w:rsidRPr="00817A34">
        <w:t xml:space="preserve"> recours à des</w:t>
      </w:r>
      <w:r w:rsidRPr="00817A34">
        <w:t xml:space="preserve"> expulsions forcées des lieux de vie informels souvent menées sans proposer de solutions de logement de substitution ni tenir compte des besoins spécifiques des personnes concernées, notamment des enfants (art. 11).</w:t>
      </w:r>
    </w:p>
    <w:p w14:paraId="08764D60" w14:textId="2A2747E2" w:rsidR="00933E6A" w:rsidRPr="00817A34" w:rsidRDefault="00CE2668" w:rsidP="00933E6A">
      <w:pPr>
        <w:pStyle w:val="SingleTxtG"/>
        <w:tabs>
          <w:tab w:val="left" w:pos="720"/>
        </w:tabs>
        <w:rPr>
          <w:b/>
          <w:bCs/>
        </w:rPr>
      </w:pPr>
      <w:r w:rsidRPr="00AB261D">
        <w:t>4</w:t>
      </w:r>
      <w:r>
        <w:t>3</w:t>
      </w:r>
      <w:r w:rsidR="009A1D9C" w:rsidRPr="00AB261D">
        <w:t>.</w:t>
      </w:r>
      <w:r w:rsidR="009A1D9C" w:rsidRPr="00AB261D">
        <w:tab/>
      </w:r>
      <w:r w:rsidR="00933E6A" w:rsidRPr="00817A34">
        <w:rPr>
          <w:b/>
          <w:bCs/>
        </w:rPr>
        <w:t>Le Comité recommande à l’</w:t>
      </w:r>
      <w:r w:rsidR="00507DAF">
        <w:rPr>
          <w:b/>
          <w:bCs/>
        </w:rPr>
        <w:t>É</w:t>
      </w:r>
      <w:r w:rsidR="00933E6A" w:rsidRPr="00817A34">
        <w:rPr>
          <w:b/>
          <w:bCs/>
        </w:rPr>
        <w:t xml:space="preserve">tat partie : </w:t>
      </w:r>
    </w:p>
    <w:p w14:paraId="54F01494" w14:textId="734DAC8A" w:rsidR="00933E6A" w:rsidRPr="00817A34" w:rsidRDefault="00933E6A" w:rsidP="00AB261D">
      <w:pPr>
        <w:pStyle w:val="SingleTxtG"/>
        <w:numPr>
          <w:ilvl w:val="0"/>
          <w:numId w:val="28"/>
        </w:numPr>
        <w:tabs>
          <w:tab w:val="left" w:pos="720"/>
        </w:tabs>
        <w:ind w:left="1134" w:firstLine="567"/>
        <w:rPr>
          <w:b/>
          <w:bCs/>
          <w:lang w:val="fr-FR"/>
        </w:rPr>
      </w:pPr>
      <w:r w:rsidRPr="00817A34">
        <w:rPr>
          <w:b/>
          <w:bCs/>
        </w:rPr>
        <w:lastRenderedPageBreak/>
        <w:t xml:space="preserve">De mener une révision de ses politiques en matière de logement </w:t>
      </w:r>
      <w:r w:rsidR="0079320E" w:rsidRPr="00817A34">
        <w:rPr>
          <w:b/>
          <w:bCs/>
        </w:rPr>
        <w:t>afin de répondre efficacement aux besoins de logement de la population</w:t>
      </w:r>
      <w:r w:rsidR="00E32CCC" w:rsidRPr="00817A34">
        <w:rPr>
          <w:b/>
          <w:bCs/>
        </w:rPr>
        <w:t xml:space="preserve"> </w:t>
      </w:r>
      <w:r w:rsidR="0079320E" w:rsidRPr="00817A34">
        <w:rPr>
          <w:b/>
          <w:bCs/>
        </w:rPr>
        <w:t>en particulier des individus et des groupes défavorisés et marginalisés</w:t>
      </w:r>
      <w:r w:rsidR="00E32CCC" w:rsidRPr="00817A34">
        <w:rPr>
          <w:b/>
          <w:bCs/>
        </w:rPr>
        <w:t xml:space="preserve"> </w:t>
      </w:r>
      <w:r w:rsidR="0079320E" w:rsidRPr="00817A34">
        <w:rPr>
          <w:b/>
          <w:bCs/>
        </w:rPr>
        <w:t xml:space="preserve">; </w:t>
      </w:r>
    </w:p>
    <w:p w14:paraId="346C2B5D" w14:textId="05D005D4" w:rsidR="00E32CCC" w:rsidRPr="00817A34" w:rsidRDefault="0047651B" w:rsidP="00AB261D">
      <w:pPr>
        <w:pStyle w:val="SingleTxtG"/>
        <w:numPr>
          <w:ilvl w:val="0"/>
          <w:numId w:val="28"/>
        </w:numPr>
        <w:tabs>
          <w:tab w:val="left" w:pos="720"/>
        </w:tabs>
        <w:ind w:left="1134" w:firstLine="567"/>
        <w:rPr>
          <w:b/>
          <w:bCs/>
          <w:lang w:val="fr-FR"/>
        </w:rPr>
      </w:pPr>
      <w:r w:rsidRPr="00817A34">
        <w:rPr>
          <w:b/>
          <w:bCs/>
        </w:rPr>
        <w:t xml:space="preserve">De prendre toutes les mesures nécessaires pour </w:t>
      </w:r>
      <w:r w:rsidR="0079320E" w:rsidRPr="00817A34">
        <w:rPr>
          <w:b/>
          <w:bCs/>
        </w:rPr>
        <w:t>élargir l’offre de logements sociaux</w:t>
      </w:r>
      <w:r w:rsidR="00E32CCC" w:rsidRPr="00817A34">
        <w:rPr>
          <w:b/>
          <w:bCs/>
        </w:rPr>
        <w:t xml:space="preserve"> et d</w:t>
      </w:r>
      <w:r w:rsidR="0079320E" w:rsidRPr="00817A34">
        <w:rPr>
          <w:b/>
          <w:bCs/>
        </w:rPr>
        <w:t>es logements abordable</w:t>
      </w:r>
      <w:r w:rsidR="00E32CCC" w:rsidRPr="00817A34">
        <w:rPr>
          <w:b/>
          <w:bCs/>
        </w:rPr>
        <w:t xml:space="preserve">s, ainsi que pour lutter de manière effective contre le sans-abrisme, et pour garantir aux personnes sans abri un accès à un hébergement d’urgence ; </w:t>
      </w:r>
    </w:p>
    <w:p w14:paraId="35CD52DE" w14:textId="737AC9F1" w:rsidR="0079320E" w:rsidRPr="00817A34" w:rsidRDefault="00E32CCC" w:rsidP="00AB261D">
      <w:pPr>
        <w:pStyle w:val="SingleTxtG"/>
        <w:numPr>
          <w:ilvl w:val="0"/>
          <w:numId w:val="28"/>
        </w:numPr>
        <w:tabs>
          <w:tab w:val="left" w:pos="720"/>
        </w:tabs>
        <w:ind w:left="1134" w:firstLine="567"/>
        <w:rPr>
          <w:b/>
          <w:bCs/>
          <w:lang w:val="fr-FR"/>
        </w:rPr>
      </w:pPr>
      <w:r w:rsidRPr="00817A34">
        <w:rPr>
          <w:b/>
          <w:bCs/>
          <w:lang w:val="fr-FR"/>
        </w:rPr>
        <w:t xml:space="preserve">D’adopter une </w:t>
      </w:r>
      <w:r w:rsidRPr="00817A34">
        <w:rPr>
          <w:b/>
          <w:bCs/>
        </w:rPr>
        <w:t xml:space="preserve">politique de construction et de rénovation des logements sociaux dont les loyers soient accessibles notamment aux personnes plus défavorisées et marginalisées ; </w:t>
      </w:r>
    </w:p>
    <w:p w14:paraId="717E4B11" w14:textId="024A27AE" w:rsidR="00E32CCC" w:rsidRPr="00817A34" w:rsidRDefault="0047651B" w:rsidP="00AB261D">
      <w:pPr>
        <w:pStyle w:val="SingleTxtG"/>
        <w:numPr>
          <w:ilvl w:val="0"/>
          <w:numId w:val="28"/>
        </w:numPr>
        <w:tabs>
          <w:tab w:val="left" w:pos="720"/>
        </w:tabs>
        <w:ind w:left="1134" w:firstLine="567"/>
        <w:rPr>
          <w:b/>
          <w:bCs/>
          <w:lang w:val="fr-FR"/>
        </w:rPr>
      </w:pPr>
      <w:r w:rsidRPr="00817A34">
        <w:rPr>
          <w:b/>
          <w:bCs/>
        </w:rPr>
        <w:t>De prendre des mesures efficaces pour garantir</w:t>
      </w:r>
      <w:r w:rsidR="00E32CCC" w:rsidRPr="00817A34">
        <w:rPr>
          <w:b/>
          <w:bCs/>
        </w:rPr>
        <w:t xml:space="preserve"> aux Roms</w:t>
      </w:r>
      <w:r w:rsidRPr="00817A34">
        <w:rPr>
          <w:b/>
          <w:bCs/>
        </w:rPr>
        <w:t xml:space="preserve"> </w:t>
      </w:r>
      <w:r w:rsidR="00E32CCC" w:rsidRPr="00817A34">
        <w:rPr>
          <w:b/>
          <w:bCs/>
        </w:rPr>
        <w:t xml:space="preserve">et aux </w:t>
      </w:r>
      <w:r w:rsidRPr="00817A34">
        <w:rPr>
          <w:b/>
          <w:bCs/>
        </w:rPr>
        <w:t>gens du voyage des logements adéquats et</w:t>
      </w:r>
      <w:r w:rsidR="00005EB4" w:rsidRPr="00817A34">
        <w:rPr>
          <w:b/>
          <w:bCs/>
        </w:rPr>
        <w:t xml:space="preserve"> pour</w:t>
      </w:r>
      <w:r w:rsidRPr="00817A34">
        <w:rPr>
          <w:b/>
          <w:bCs/>
        </w:rPr>
        <w:t xml:space="preserve"> améliorer leurs conditions de vie, en fonction de leurs besoins particuliers</w:t>
      </w:r>
      <w:r w:rsidR="009A1D9C" w:rsidRPr="00817A34">
        <w:rPr>
          <w:b/>
          <w:bCs/>
        </w:rPr>
        <w:t> ;</w:t>
      </w:r>
    </w:p>
    <w:p w14:paraId="4D82E286" w14:textId="4A874C98" w:rsidR="0047651B" w:rsidRPr="00817A34" w:rsidRDefault="00005EB4" w:rsidP="00AB261D">
      <w:pPr>
        <w:pStyle w:val="SingleTxtG"/>
        <w:numPr>
          <w:ilvl w:val="0"/>
          <w:numId w:val="28"/>
        </w:numPr>
        <w:tabs>
          <w:tab w:val="left" w:pos="720"/>
        </w:tabs>
        <w:ind w:left="1134" w:firstLine="567"/>
        <w:rPr>
          <w:b/>
          <w:bCs/>
          <w:lang w:val="fr-FR"/>
        </w:rPr>
      </w:pPr>
      <w:r w:rsidRPr="00817A34">
        <w:rPr>
          <w:b/>
          <w:bCs/>
        </w:rPr>
        <w:t xml:space="preserve">De considérer la possibilité de reconnaître </w:t>
      </w:r>
      <w:r w:rsidR="0047651B" w:rsidRPr="00817A34">
        <w:rPr>
          <w:b/>
          <w:bCs/>
        </w:rPr>
        <w:t xml:space="preserve">la caravane comme un logement </w:t>
      </w:r>
      <w:r w:rsidRPr="00817A34">
        <w:rPr>
          <w:b/>
          <w:bCs/>
        </w:rPr>
        <w:t>ou prendre les mesures nécessaires pour que leur mode de vie ne soit pas un obstacle dans l’accès à leurs droits ;</w:t>
      </w:r>
    </w:p>
    <w:p w14:paraId="4392405B" w14:textId="77462002" w:rsidR="000F5DD5" w:rsidRPr="009C1666" w:rsidRDefault="000F5DD5" w:rsidP="00AB261D">
      <w:pPr>
        <w:pStyle w:val="SingleTxtG"/>
        <w:numPr>
          <w:ilvl w:val="0"/>
          <w:numId w:val="28"/>
        </w:numPr>
        <w:tabs>
          <w:tab w:val="left" w:pos="720"/>
        </w:tabs>
        <w:ind w:left="1134" w:firstLine="567"/>
        <w:rPr>
          <w:b/>
          <w:bCs/>
          <w:lang w:val="fr-FR"/>
        </w:rPr>
      </w:pPr>
      <w:r w:rsidRPr="00817A34">
        <w:rPr>
          <w:b/>
          <w:bCs/>
        </w:rPr>
        <w:t>D’assurer que les migrants et demandeurs d’asile puissent avoir accès à des hébergements d’urgences dans des conditions dignes, et puissent avoir accès à des prestations</w:t>
      </w:r>
      <w:r w:rsidR="00267BE4" w:rsidRPr="00817A34">
        <w:rPr>
          <w:b/>
          <w:bCs/>
        </w:rPr>
        <w:t xml:space="preserve"> sociales adéquates</w:t>
      </w:r>
      <w:r w:rsidR="00267BE4" w:rsidRPr="00817A34" w:rsidDel="00267BE4">
        <w:rPr>
          <w:b/>
          <w:bCs/>
        </w:rPr>
        <w:t xml:space="preserve"> </w:t>
      </w:r>
      <w:r w:rsidRPr="00817A34">
        <w:rPr>
          <w:b/>
          <w:bCs/>
        </w:rPr>
        <w:t>;</w:t>
      </w:r>
    </w:p>
    <w:p w14:paraId="6ECB37E0" w14:textId="589EEE30" w:rsidR="0047651B" w:rsidRPr="009C1666" w:rsidRDefault="0047651B" w:rsidP="00AB261D">
      <w:pPr>
        <w:pStyle w:val="SingleTxtG"/>
        <w:numPr>
          <w:ilvl w:val="0"/>
          <w:numId w:val="28"/>
        </w:numPr>
        <w:tabs>
          <w:tab w:val="left" w:pos="720"/>
        </w:tabs>
        <w:ind w:left="1134" w:firstLine="567"/>
        <w:rPr>
          <w:b/>
          <w:bCs/>
          <w:lang w:val="fr-FR"/>
        </w:rPr>
      </w:pPr>
      <w:r w:rsidRPr="00817A34">
        <w:rPr>
          <w:b/>
          <w:bCs/>
        </w:rPr>
        <w:t xml:space="preserve">D’adopter des mesures efficaces pour réduire autant que possible le recours aux expulsions forcées en envisageant d’autres solutions en concertation avec </w:t>
      </w:r>
      <w:r w:rsidR="001E7C7A">
        <w:rPr>
          <w:b/>
          <w:bCs/>
        </w:rPr>
        <w:t xml:space="preserve">personnes </w:t>
      </w:r>
      <w:r w:rsidRPr="00817A34">
        <w:rPr>
          <w:b/>
          <w:bCs/>
        </w:rPr>
        <w:t>les intéressé</w:t>
      </w:r>
      <w:r w:rsidR="001E7C7A">
        <w:rPr>
          <w:b/>
          <w:bCs/>
        </w:rPr>
        <w:t>e</w:t>
      </w:r>
      <w:r w:rsidRPr="00817A34">
        <w:rPr>
          <w:b/>
          <w:bCs/>
        </w:rPr>
        <w:t xml:space="preserve">s, </w:t>
      </w:r>
      <w:r w:rsidR="001E7C7A" w:rsidRPr="001E7C7A">
        <w:rPr>
          <w:b/>
          <w:bCs/>
        </w:rPr>
        <w:t>en assurant que les expulsions soient conformes à une</w:t>
      </w:r>
      <w:r w:rsidR="0064016F">
        <w:rPr>
          <w:b/>
          <w:bCs/>
        </w:rPr>
        <w:t xml:space="preserve"> </w:t>
      </w:r>
      <w:r w:rsidR="001E7C7A" w:rsidRPr="001E7C7A">
        <w:rPr>
          <w:b/>
          <w:bCs/>
        </w:rPr>
        <w:t>législation compatible avec le Pacte et aux principes généraux qui veulent que toutes mesures prises soient raisonnables et proportionnées au regard de l’objectif légitime de l’expulsion et des conséquences de celle</w:t>
      </w:r>
      <w:r w:rsidR="001E7C7A" w:rsidRPr="001E7C7A">
        <w:rPr>
          <w:b/>
          <w:bCs/>
        </w:rPr>
        <w:noBreakHyphen/>
        <w:t>ci sur les personnes visées. Dans l’examen de la proportionnalité des mesures, les facteurs suivants doivent être pris en compte : l’existence d’un logement alternatif décent, les circonstances personnelles des personnes concernées et leur coopération avec les autorités dans la recherche de solutions adaptées</w:t>
      </w:r>
      <w:r w:rsidR="001E7C7A">
        <w:rPr>
          <w:b/>
          <w:bCs/>
        </w:rPr>
        <w:t xml:space="preserve"> ; </w:t>
      </w:r>
    </w:p>
    <w:p w14:paraId="33FC99E9" w14:textId="6BB1D0DC" w:rsidR="001E7C7A" w:rsidRPr="00817A34" w:rsidRDefault="001E7C7A" w:rsidP="00AB261D">
      <w:pPr>
        <w:pStyle w:val="SingleTxtG"/>
        <w:numPr>
          <w:ilvl w:val="0"/>
          <w:numId w:val="28"/>
        </w:numPr>
        <w:tabs>
          <w:tab w:val="left" w:pos="720"/>
        </w:tabs>
        <w:ind w:left="1134" w:firstLine="567"/>
        <w:rPr>
          <w:b/>
          <w:bCs/>
          <w:lang w:val="fr-FR"/>
        </w:rPr>
      </w:pPr>
      <w:r w:rsidRPr="001E7C7A">
        <w:rPr>
          <w:b/>
          <w:bCs/>
        </w:rPr>
        <w:t>De faire sorte que les personnes expulsées soient informées dans un délai suffisant et raisonnable de la décision d’expulsion et qu’elles aient accès à un recours judiciaire effectif</w:t>
      </w:r>
      <w:r w:rsidR="00F41C68">
        <w:rPr>
          <w:b/>
          <w:bCs/>
        </w:rPr>
        <w:t xml:space="preserve"> ; </w:t>
      </w:r>
    </w:p>
    <w:p w14:paraId="6CA4A721" w14:textId="47F1FD15" w:rsidR="000F5DD5" w:rsidRPr="00817A34" w:rsidRDefault="000F5DD5" w:rsidP="00AB261D">
      <w:pPr>
        <w:pStyle w:val="SingleTxtG"/>
        <w:numPr>
          <w:ilvl w:val="0"/>
          <w:numId w:val="28"/>
        </w:numPr>
        <w:tabs>
          <w:tab w:val="left" w:pos="720"/>
        </w:tabs>
        <w:ind w:left="1134" w:firstLine="567"/>
        <w:rPr>
          <w:b/>
          <w:bCs/>
          <w:lang w:val="fr-FR"/>
        </w:rPr>
      </w:pPr>
      <w:r w:rsidRPr="00817A34">
        <w:rPr>
          <w:b/>
          <w:bCs/>
        </w:rPr>
        <w:t>De tenir compte des recommandations contenues dans le rapport de</w:t>
      </w:r>
      <w:r w:rsidR="000D463C">
        <w:rPr>
          <w:b/>
          <w:bCs/>
        </w:rPr>
        <w:t xml:space="preserve"> la</w:t>
      </w:r>
      <w:r w:rsidRPr="00817A34">
        <w:rPr>
          <w:b/>
          <w:bCs/>
        </w:rPr>
        <w:t xml:space="preserve"> Rapporteuse spéciale sur le logement convenable en tant qu’élément du droit à un niveau de vie suffisant ainsi que sur le droit à la non-discrimination à cet égard formulées </w:t>
      </w:r>
      <w:proofErr w:type="gramStart"/>
      <w:r w:rsidRPr="00817A34">
        <w:rPr>
          <w:b/>
          <w:bCs/>
        </w:rPr>
        <w:t>suite à</w:t>
      </w:r>
      <w:proofErr w:type="gramEnd"/>
      <w:r w:rsidRPr="00817A34">
        <w:rPr>
          <w:b/>
          <w:bCs/>
        </w:rPr>
        <w:t xml:space="preserve"> sa visite en France en avril 20</w:t>
      </w:r>
      <w:r w:rsidR="002B7E4C" w:rsidRPr="00817A34">
        <w:rPr>
          <w:b/>
          <w:bCs/>
        </w:rPr>
        <w:t>1</w:t>
      </w:r>
      <w:r w:rsidRPr="00817A34">
        <w:rPr>
          <w:b/>
          <w:bCs/>
        </w:rPr>
        <w:t>9</w:t>
      </w:r>
      <w:r w:rsidR="002B7E4C" w:rsidRPr="00817A34">
        <w:rPr>
          <w:rStyle w:val="Appelnotedebasdep"/>
          <w:b/>
          <w:bCs/>
        </w:rPr>
        <w:footnoteReference w:id="13"/>
      </w:r>
      <w:r w:rsidR="002B7E4C" w:rsidRPr="00817A34">
        <w:rPr>
          <w:b/>
          <w:bCs/>
        </w:rPr>
        <w:t>.</w:t>
      </w:r>
    </w:p>
    <w:p w14:paraId="65D789EB" w14:textId="64F1FFFF" w:rsidR="00F723C9" w:rsidRPr="00817A34" w:rsidRDefault="00F723C9" w:rsidP="00AB261D">
      <w:pPr>
        <w:pStyle w:val="H23G"/>
        <w:tabs>
          <w:tab w:val="clear" w:pos="720"/>
          <w:tab w:val="clear" w:pos="851"/>
        </w:tabs>
        <w:ind w:left="1134"/>
      </w:pPr>
      <w:r w:rsidRPr="00817A34">
        <w:t xml:space="preserve">Opération </w:t>
      </w:r>
      <w:proofErr w:type="spellStart"/>
      <w:r w:rsidR="006D2B8C" w:rsidRPr="00817A34">
        <w:t>Wuambushu</w:t>
      </w:r>
      <w:proofErr w:type="spellEnd"/>
      <w:r w:rsidRPr="00817A34">
        <w:t xml:space="preserve"> </w:t>
      </w:r>
    </w:p>
    <w:p w14:paraId="6C06D49B" w14:textId="3FFD6246" w:rsidR="00933E6A" w:rsidRPr="00817A34" w:rsidRDefault="00CE2668" w:rsidP="00F723C9">
      <w:pPr>
        <w:pStyle w:val="SingleTxtG"/>
        <w:tabs>
          <w:tab w:val="left" w:pos="720"/>
        </w:tabs>
        <w:rPr>
          <w:lang w:val="fr-FR"/>
        </w:rPr>
      </w:pPr>
      <w:r w:rsidRPr="00817A34">
        <w:t>4</w:t>
      </w:r>
      <w:r>
        <w:t>4</w:t>
      </w:r>
      <w:r w:rsidR="009A1D9C" w:rsidRPr="00817A34">
        <w:t>.</w:t>
      </w:r>
      <w:r w:rsidR="009A1D9C" w:rsidRPr="00817A34">
        <w:tab/>
      </w:r>
      <w:r w:rsidR="00F723C9" w:rsidRPr="00817A34">
        <w:t>Le Comité exprime sa préoccupation concernant</w:t>
      </w:r>
      <w:r w:rsidR="00C44ECB" w:rsidRPr="00817A34">
        <w:t xml:space="preserve"> </w:t>
      </w:r>
      <w:r w:rsidR="00F723C9" w:rsidRPr="00817A34">
        <w:rPr>
          <w:lang w:val="fr-FR"/>
        </w:rPr>
        <w:t xml:space="preserve">l’opération « </w:t>
      </w:r>
      <w:proofErr w:type="spellStart"/>
      <w:r w:rsidR="00F723C9" w:rsidRPr="00817A34">
        <w:rPr>
          <w:lang w:val="fr-FR"/>
        </w:rPr>
        <w:t>Wuambushu</w:t>
      </w:r>
      <w:proofErr w:type="spellEnd"/>
      <w:r w:rsidR="00F723C9" w:rsidRPr="00817A34">
        <w:rPr>
          <w:lang w:val="fr-FR"/>
        </w:rPr>
        <w:t xml:space="preserve"> »</w:t>
      </w:r>
      <w:r w:rsidR="00E818AE" w:rsidRPr="00817A34">
        <w:rPr>
          <w:lang w:val="fr-FR"/>
        </w:rPr>
        <w:t xml:space="preserve"> qui s’est déroulée</w:t>
      </w:r>
      <w:r w:rsidR="00F723C9" w:rsidRPr="00817A34">
        <w:rPr>
          <w:lang w:val="fr-FR"/>
        </w:rPr>
        <w:t xml:space="preserve"> à Mayotte visant la démolition de </w:t>
      </w:r>
      <w:r w:rsidR="00E818AE" w:rsidRPr="00817A34">
        <w:rPr>
          <w:lang w:val="fr-FR"/>
        </w:rPr>
        <w:t xml:space="preserve">bidonvilles </w:t>
      </w:r>
      <w:r w:rsidR="00F723C9" w:rsidRPr="00817A34">
        <w:rPr>
          <w:lang w:val="fr-FR"/>
        </w:rPr>
        <w:t>ce qui a entraîné</w:t>
      </w:r>
      <w:r w:rsidR="00B015A1" w:rsidRPr="00817A34">
        <w:rPr>
          <w:lang w:val="fr-FR"/>
        </w:rPr>
        <w:t xml:space="preserve"> l’expulsion de </w:t>
      </w:r>
      <w:r w:rsidR="00F723C9" w:rsidRPr="00817A34">
        <w:rPr>
          <w:lang w:val="fr-FR"/>
        </w:rPr>
        <w:t>nombreuses familles de leurs logements</w:t>
      </w:r>
      <w:r w:rsidR="00F723C9" w:rsidRPr="00817A34">
        <w:t xml:space="preserve"> </w:t>
      </w:r>
      <w:r w:rsidR="00E818AE" w:rsidRPr="00817A34">
        <w:t xml:space="preserve">(art. 11). </w:t>
      </w:r>
    </w:p>
    <w:p w14:paraId="7768155E" w14:textId="76AFE19B" w:rsidR="007318DD" w:rsidRPr="00817A34" w:rsidRDefault="00CE2668" w:rsidP="002B7E4C">
      <w:pPr>
        <w:pStyle w:val="SingleTxtG"/>
        <w:tabs>
          <w:tab w:val="left" w:pos="720"/>
        </w:tabs>
        <w:rPr>
          <w:rFonts w:asciiTheme="majorBidi" w:hAnsiTheme="majorBidi" w:cstheme="majorBidi"/>
          <w:b/>
          <w:bCs/>
          <w:lang w:val="fr-FR"/>
        </w:rPr>
      </w:pPr>
      <w:r w:rsidRPr="00817A34">
        <w:rPr>
          <w:b/>
          <w:bCs/>
          <w:lang w:val="fr-FR"/>
        </w:rPr>
        <w:t>4</w:t>
      </w:r>
      <w:r>
        <w:rPr>
          <w:b/>
          <w:bCs/>
          <w:lang w:val="fr-FR"/>
        </w:rPr>
        <w:t>5</w:t>
      </w:r>
      <w:r w:rsidR="009A1D9C" w:rsidRPr="00817A34">
        <w:rPr>
          <w:b/>
          <w:bCs/>
          <w:lang w:val="fr-FR"/>
        </w:rPr>
        <w:t>.</w:t>
      </w:r>
      <w:r w:rsidR="009A1D9C" w:rsidRPr="00817A34">
        <w:rPr>
          <w:b/>
          <w:bCs/>
          <w:lang w:val="fr-FR"/>
        </w:rPr>
        <w:tab/>
      </w:r>
      <w:r w:rsidR="00EC47B1" w:rsidRPr="00817A34">
        <w:rPr>
          <w:b/>
          <w:bCs/>
          <w:lang w:val="fr-FR"/>
        </w:rPr>
        <w:t>Le Comité recommande à l’État partie</w:t>
      </w:r>
      <w:r w:rsidR="00E818AE" w:rsidRPr="00817A34">
        <w:rPr>
          <w:b/>
          <w:bCs/>
          <w:lang w:val="fr-FR"/>
        </w:rPr>
        <w:t xml:space="preserve"> de prendre les mesures nécessaires </w:t>
      </w:r>
      <w:r w:rsidR="0085458F" w:rsidRPr="00817A34">
        <w:rPr>
          <w:b/>
          <w:bCs/>
          <w:lang w:val="fr-FR"/>
        </w:rPr>
        <w:t xml:space="preserve">pour assurer que </w:t>
      </w:r>
      <w:r w:rsidR="006D2B8C" w:rsidRPr="00817A34">
        <w:rPr>
          <w:b/>
          <w:bCs/>
        </w:rPr>
        <w:t xml:space="preserve">les </w:t>
      </w:r>
      <w:r w:rsidR="006D2B8C" w:rsidRPr="00817A34">
        <w:rPr>
          <w:rFonts w:asciiTheme="majorBidi" w:hAnsiTheme="majorBidi" w:cstheme="majorBidi"/>
          <w:b/>
          <w:bCs/>
          <w:lang w:val="fr-FR"/>
        </w:rPr>
        <w:t xml:space="preserve">personnes dont le logement a été détruit ne </w:t>
      </w:r>
      <w:r w:rsidR="006D2B8C" w:rsidRPr="00817A34">
        <w:rPr>
          <w:b/>
          <w:bCs/>
        </w:rPr>
        <w:t xml:space="preserve">se retrouvent sans abri et à ce qu’une solution </w:t>
      </w:r>
      <w:r w:rsidR="001E7C7A" w:rsidRPr="00817A34">
        <w:rPr>
          <w:b/>
          <w:bCs/>
        </w:rPr>
        <w:t xml:space="preserve">adéquate </w:t>
      </w:r>
      <w:r w:rsidR="006D2B8C" w:rsidRPr="00817A34">
        <w:rPr>
          <w:b/>
          <w:bCs/>
        </w:rPr>
        <w:t>d’hébergement leur soit proposée. Le Comité recommande à l’</w:t>
      </w:r>
      <w:r w:rsidR="006938F7" w:rsidRPr="00817A34">
        <w:rPr>
          <w:b/>
          <w:bCs/>
        </w:rPr>
        <w:t>État</w:t>
      </w:r>
      <w:r w:rsidR="006D2B8C" w:rsidRPr="00817A34">
        <w:rPr>
          <w:b/>
          <w:bCs/>
        </w:rPr>
        <w:t xml:space="preserve"> partie de</w:t>
      </w:r>
      <w:r w:rsidR="009D6B88" w:rsidRPr="00817A34">
        <w:rPr>
          <w:b/>
          <w:bCs/>
        </w:rPr>
        <w:t xml:space="preserve"> veiller à ce que </w:t>
      </w:r>
      <w:r w:rsidR="0060510C" w:rsidRPr="00817A34">
        <w:rPr>
          <w:b/>
          <w:bCs/>
        </w:rPr>
        <w:t xml:space="preserve">toutes </w:t>
      </w:r>
      <w:r w:rsidR="009D6B88" w:rsidRPr="00817A34">
        <w:rPr>
          <w:b/>
          <w:bCs/>
        </w:rPr>
        <w:t xml:space="preserve">mesures visant à l’amélioration des conditions de logements intègrent une approche de </w:t>
      </w:r>
      <w:r w:rsidR="0085458F" w:rsidRPr="00817A34">
        <w:rPr>
          <w:rFonts w:asciiTheme="majorBidi" w:hAnsiTheme="majorBidi" w:cstheme="majorBidi"/>
          <w:b/>
          <w:bCs/>
          <w:lang w:val="fr-FR"/>
        </w:rPr>
        <w:t xml:space="preserve">respect des droits </w:t>
      </w:r>
      <w:r w:rsidR="001E7C7A">
        <w:rPr>
          <w:rFonts w:asciiTheme="majorBidi" w:hAnsiTheme="majorBidi" w:cstheme="majorBidi"/>
          <w:b/>
          <w:bCs/>
          <w:lang w:val="fr-FR"/>
        </w:rPr>
        <w:t xml:space="preserve">de l’homme </w:t>
      </w:r>
      <w:r w:rsidR="0085458F" w:rsidRPr="00817A34">
        <w:rPr>
          <w:rFonts w:asciiTheme="majorBidi" w:hAnsiTheme="majorBidi" w:cstheme="majorBidi"/>
          <w:b/>
          <w:bCs/>
          <w:lang w:val="fr-FR"/>
        </w:rPr>
        <w:t xml:space="preserve">notamment </w:t>
      </w:r>
      <w:r w:rsidR="00171947" w:rsidRPr="00817A34">
        <w:rPr>
          <w:rFonts w:asciiTheme="majorBidi" w:hAnsiTheme="majorBidi" w:cstheme="majorBidi"/>
          <w:b/>
          <w:bCs/>
          <w:lang w:val="fr-FR"/>
        </w:rPr>
        <w:t>le</w:t>
      </w:r>
      <w:r w:rsidR="006D2B8C" w:rsidRPr="00817A34">
        <w:rPr>
          <w:rFonts w:asciiTheme="majorBidi" w:hAnsiTheme="majorBidi" w:cstheme="majorBidi"/>
          <w:b/>
          <w:bCs/>
          <w:lang w:val="fr-FR"/>
        </w:rPr>
        <w:t xml:space="preserve"> respect des droits d</w:t>
      </w:r>
      <w:r w:rsidR="0085458F" w:rsidRPr="00817A34">
        <w:rPr>
          <w:rFonts w:asciiTheme="majorBidi" w:hAnsiTheme="majorBidi" w:cstheme="majorBidi"/>
          <w:b/>
          <w:bCs/>
          <w:lang w:val="fr-FR"/>
        </w:rPr>
        <w:t>es enfants, des personnes en situation de handicap et des personnes âgées</w:t>
      </w:r>
      <w:r w:rsidR="006D2B8C" w:rsidRPr="00817A34">
        <w:rPr>
          <w:rFonts w:asciiTheme="majorBidi" w:hAnsiTheme="majorBidi" w:cstheme="majorBidi"/>
          <w:b/>
          <w:bCs/>
          <w:lang w:val="fr-FR"/>
        </w:rPr>
        <w:t xml:space="preserve">. </w:t>
      </w:r>
    </w:p>
    <w:p w14:paraId="30BF9AC9" w14:textId="492F895E" w:rsidR="00A35B95" w:rsidRPr="00817A34" w:rsidRDefault="00AB261D" w:rsidP="00AB261D">
      <w:pPr>
        <w:pStyle w:val="H23G"/>
        <w:tabs>
          <w:tab w:val="clear" w:pos="720"/>
          <w:tab w:val="clear" w:pos="851"/>
        </w:tabs>
        <w:ind w:left="1134"/>
      </w:pPr>
      <w:r>
        <w:tab/>
      </w:r>
      <w:r w:rsidR="006A26F5" w:rsidRPr="00817A34">
        <w:t xml:space="preserve">Droit </w:t>
      </w:r>
      <w:r w:rsidR="00A35B95" w:rsidRPr="00817A34">
        <w:t xml:space="preserve">à l’eau </w:t>
      </w:r>
    </w:p>
    <w:p w14:paraId="033E5025" w14:textId="546EF0C4" w:rsidR="00ED6194" w:rsidRPr="00817A34" w:rsidRDefault="00CE2668" w:rsidP="00ED6194">
      <w:pPr>
        <w:pStyle w:val="SingleTxtG"/>
        <w:tabs>
          <w:tab w:val="left" w:pos="720"/>
        </w:tabs>
        <w:rPr>
          <w:lang w:val="fr-FR" w:eastAsia="zh-CN"/>
        </w:rPr>
      </w:pPr>
      <w:r w:rsidRPr="00817A34">
        <w:rPr>
          <w:lang w:val="fr-FR" w:eastAsia="zh-CN"/>
        </w:rPr>
        <w:t>4</w:t>
      </w:r>
      <w:r>
        <w:rPr>
          <w:lang w:val="fr-FR" w:eastAsia="zh-CN"/>
        </w:rPr>
        <w:t>6</w:t>
      </w:r>
      <w:r w:rsidR="009A1D9C" w:rsidRPr="00817A34">
        <w:rPr>
          <w:lang w:val="fr-FR" w:eastAsia="zh-CN"/>
        </w:rPr>
        <w:t>.</w:t>
      </w:r>
      <w:r w:rsidR="009A1D9C" w:rsidRPr="00817A34">
        <w:rPr>
          <w:lang w:val="fr-FR" w:eastAsia="zh-CN"/>
        </w:rPr>
        <w:tab/>
      </w:r>
      <w:r w:rsidR="00ED6194" w:rsidRPr="00817A34">
        <w:rPr>
          <w:lang w:val="fr-FR" w:eastAsia="zh-CN"/>
        </w:rPr>
        <w:t xml:space="preserve">Le Comité est préoccupé par le manque de disponibilité et </w:t>
      </w:r>
      <w:r w:rsidR="001E7C7A">
        <w:rPr>
          <w:lang w:val="fr-FR" w:eastAsia="zh-CN"/>
        </w:rPr>
        <w:t xml:space="preserve">de qualité </w:t>
      </w:r>
      <w:r w:rsidR="00ED6194" w:rsidRPr="00817A34">
        <w:rPr>
          <w:lang w:val="fr-FR" w:eastAsia="zh-CN"/>
        </w:rPr>
        <w:t>de l’eau potable dans certaines régions, notamment dans les territoires d’outre-mer</w:t>
      </w:r>
      <w:r w:rsidR="001E7C7A">
        <w:rPr>
          <w:lang w:val="fr-FR" w:eastAsia="zh-CN"/>
        </w:rPr>
        <w:t>, particulièrement en Guadeloupe</w:t>
      </w:r>
      <w:r w:rsidR="00ED6194" w:rsidRPr="00817A34">
        <w:rPr>
          <w:lang w:val="fr-FR" w:eastAsia="zh-CN"/>
        </w:rPr>
        <w:t xml:space="preserve">. Le Comité est préoccupé par la pollution des eaux notamment par l’utilisation de </w:t>
      </w:r>
      <w:r w:rsidR="00ED6194" w:rsidRPr="00817A34">
        <w:rPr>
          <w:lang w:val="fr-FR" w:eastAsia="zh-CN"/>
        </w:rPr>
        <w:lastRenderedPageBreak/>
        <w:t xml:space="preserve">pesticides, </w:t>
      </w:r>
      <w:r w:rsidR="00ED6194" w:rsidRPr="00817A34">
        <w:t>notamment</w:t>
      </w:r>
      <w:r w:rsidR="00ED6194" w:rsidRPr="00817A34">
        <w:rPr>
          <w:lang w:val="fr-FR" w:eastAsia="zh-CN"/>
        </w:rPr>
        <w:t xml:space="preserve"> en Guyane, Guadeloupe et Martinique ce qui a entraîné des graves problèmes de santé </w:t>
      </w:r>
      <w:r w:rsidR="00461F1E" w:rsidRPr="00817A34">
        <w:rPr>
          <w:lang w:val="fr-FR" w:eastAsia="zh-CN"/>
        </w:rPr>
        <w:t>auprès de</w:t>
      </w:r>
      <w:r w:rsidR="00ED6194" w:rsidRPr="00817A34">
        <w:rPr>
          <w:lang w:val="fr-FR" w:eastAsia="zh-CN"/>
        </w:rPr>
        <w:t xml:space="preserve"> la </w:t>
      </w:r>
      <w:r w:rsidR="00461F1E" w:rsidRPr="00817A34">
        <w:rPr>
          <w:lang w:val="fr-FR" w:eastAsia="zh-CN"/>
        </w:rPr>
        <w:t>population</w:t>
      </w:r>
      <w:r w:rsidR="00ED6194" w:rsidRPr="00817A34">
        <w:rPr>
          <w:lang w:val="fr-FR" w:eastAsia="zh-CN"/>
        </w:rPr>
        <w:t xml:space="preserve"> et le manque d’accès à l’eau potable</w:t>
      </w:r>
      <w:r w:rsidR="007522A1" w:rsidRPr="00817A34">
        <w:rPr>
          <w:lang w:val="fr-FR" w:eastAsia="zh-CN"/>
        </w:rPr>
        <w:t xml:space="preserve"> (art. 11 et 12)</w:t>
      </w:r>
      <w:r w:rsidR="00ED6194" w:rsidRPr="00817A34">
        <w:rPr>
          <w:lang w:val="fr-FR" w:eastAsia="zh-CN"/>
        </w:rPr>
        <w:t xml:space="preserve">. </w:t>
      </w:r>
    </w:p>
    <w:p w14:paraId="344A19D7" w14:textId="3F1779FA" w:rsidR="00CE2668" w:rsidRDefault="00CE2668" w:rsidP="00ED6194">
      <w:pPr>
        <w:pStyle w:val="SingleTxtG"/>
        <w:tabs>
          <w:tab w:val="left" w:pos="720"/>
        </w:tabs>
        <w:rPr>
          <w:b/>
        </w:rPr>
      </w:pPr>
      <w:r w:rsidRPr="00AB261D">
        <w:rPr>
          <w:bCs/>
        </w:rPr>
        <w:t>4</w:t>
      </w:r>
      <w:r>
        <w:rPr>
          <w:bCs/>
        </w:rPr>
        <w:t>7</w:t>
      </w:r>
      <w:r w:rsidR="009A1D9C" w:rsidRPr="00AB261D">
        <w:rPr>
          <w:bCs/>
        </w:rPr>
        <w:t>.</w:t>
      </w:r>
      <w:r w:rsidR="009A1D9C" w:rsidRPr="00AB261D">
        <w:rPr>
          <w:bCs/>
        </w:rPr>
        <w:tab/>
      </w:r>
      <w:r w:rsidR="00461F1E" w:rsidRPr="00817A34">
        <w:rPr>
          <w:b/>
        </w:rPr>
        <w:t xml:space="preserve">Le Comité </w:t>
      </w:r>
      <w:r w:rsidR="001139FB" w:rsidRPr="00817A34">
        <w:rPr>
          <w:b/>
        </w:rPr>
        <w:t>e</w:t>
      </w:r>
      <w:r w:rsidR="001139FB">
        <w:rPr>
          <w:b/>
        </w:rPr>
        <w:t>xhorte</w:t>
      </w:r>
      <w:r w:rsidR="001139FB" w:rsidRPr="00817A34">
        <w:rPr>
          <w:b/>
        </w:rPr>
        <w:t xml:space="preserve"> </w:t>
      </w:r>
      <w:r w:rsidR="00461F1E" w:rsidRPr="00817A34">
        <w:rPr>
          <w:b/>
        </w:rPr>
        <w:t>l’État partie à</w:t>
      </w:r>
      <w:r w:rsidR="001139FB">
        <w:rPr>
          <w:b/>
        </w:rPr>
        <w:t> :</w:t>
      </w:r>
    </w:p>
    <w:p w14:paraId="75B1BE10" w14:textId="3717F3B2" w:rsidR="00CE2668" w:rsidRDefault="008F25E2" w:rsidP="00ED6194">
      <w:pPr>
        <w:pStyle w:val="SingleTxtG"/>
        <w:tabs>
          <w:tab w:val="left" w:pos="720"/>
        </w:tabs>
        <w:rPr>
          <w:b/>
        </w:rPr>
      </w:pPr>
      <w:r>
        <w:rPr>
          <w:b/>
        </w:rPr>
        <w:tab/>
      </w:r>
      <w:r>
        <w:rPr>
          <w:b/>
        </w:rPr>
        <w:tab/>
      </w:r>
      <w:r w:rsidR="00CE2668" w:rsidRPr="00C5568F">
        <w:rPr>
          <w:b/>
        </w:rPr>
        <w:t xml:space="preserve">a) </w:t>
      </w:r>
      <w:r>
        <w:rPr>
          <w:b/>
        </w:rPr>
        <w:tab/>
        <w:t>R</w:t>
      </w:r>
      <w:r w:rsidRPr="008F25E2">
        <w:rPr>
          <w:b/>
        </w:rPr>
        <w:t xml:space="preserve">edoubler </w:t>
      </w:r>
      <w:r w:rsidR="00461F1E" w:rsidRPr="008F25E2">
        <w:rPr>
          <w:b/>
        </w:rPr>
        <w:t xml:space="preserve">d’efforts pour garantir l’accès à l’eau potable </w:t>
      </w:r>
      <w:r w:rsidR="008757CD" w:rsidRPr="008F25E2">
        <w:rPr>
          <w:b/>
        </w:rPr>
        <w:t xml:space="preserve">de qualité </w:t>
      </w:r>
      <w:r w:rsidR="00461F1E" w:rsidRPr="008F25E2">
        <w:rPr>
          <w:b/>
        </w:rPr>
        <w:t>à l’ensemble de la</w:t>
      </w:r>
      <w:r w:rsidR="00461F1E" w:rsidRPr="00817A34">
        <w:rPr>
          <w:b/>
        </w:rPr>
        <w:t xml:space="preserve"> population, en particulier aux groupes les plus défavorisés et marginalisés et à ceux qui vivent dans les territoires d’outre-mer et des zones affectées par le manque d’eau</w:t>
      </w:r>
      <w:r w:rsidR="00CE2668">
        <w:rPr>
          <w:b/>
        </w:rPr>
        <w:t xml:space="preserve"> ; </w:t>
      </w:r>
    </w:p>
    <w:p w14:paraId="4EC8FD52" w14:textId="4515A9B5" w:rsidR="00CE2668" w:rsidRDefault="008F25E2" w:rsidP="00ED6194">
      <w:pPr>
        <w:pStyle w:val="SingleTxtG"/>
        <w:tabs>
          <w:tab w:val="left" w:pos="720"/>
        </w:tabs>
        <w:rPr>
          <w:b/>
        </w:rPr>
      </w:pPr>
      <w:r>
        <w:rPr>
          <w:b/>
        </w:rPr>
        <w:tab/>
      </w:r>
      <w:r>
        <w:rPr>
          <w:b/>
        </w:rPr>
        <w:tab/>
      </w:r>
      <w:r w:rsidR="00CE2668">
        <w:rPr>
          <w:b/>
        </w:rPr>
        <w:t>b)</w:t>
      </w:r>
      <w:r w:rsidR="00461F1E" w:rsidRPr="00817A34">
        <w:rPr>
          <w:b/>
        </w:rPr>
        <w:t xml:space="preserve"> </w:t>
      </w:r>
      <w:r>
        <w:rPr>
          <w:b/>
        </w:rPr>
        <w:tab/>
        <w:t>V</w:t>
      </w:r>
      <w:r w:rsidRPr="00817A34">
        <w:rPr>
          <w:b/>
        </w:rPr>
        <w:t xml:space="preserve">eiller </w:t>
      </w:r>
      <w:r w:rsidR="00461F1E" w:rsidRPr="00817A34">
        <w:rPr>
          <w:b/>
        </w:rPr>
        <w:t xml:space="preserve">à une protection efficace des ressources en eau, notamment contre les effets néfastes de la pollution due aux activités économiques ; </w:t>
      </w:r>
    </w:p>
    <w:p w14:paraId="500812FC" w14:textId="00B7DAB5" w:rsidR="008F25E2" w:rsidRDefault="008F25E2" w:rsidP="008F25E2">
      <w:pPr>
        <w:pStyle w:val="SingleTxtG"/>
        <w:tabs>
          <w:tab w:val="left" w:pos="720"/>
        </w:tabs>
        <w:rPr>
          <w:b/>
        </w:rPr>
      </w:pPr>
      <w:r>
        <w:rPr>
          <w:b/>
        </w:rPr>
        <w:tab/>
      </w:r>
      <w:r>
        <w:rPr>
          <w:b/>
        </w:rPr>
        <w:tab/>
      </w:r>
      <w:r w:rsidR="00CE2668">
        <w:rPr>
          <w:b/>
        </w:rPr>
        <w:t>c)</w:t>
      </w:r>
      <w:r w:rsidR="00CE2668" w:rsidRPr="00817A34">
        <w:rPr>
          <w:b/>
        </w:rPr>
        <w:t xml:space="preserve"> </w:t>
      </w:r>
      <w:r>
        <w:rPr>
          <w:b/>
        </w:rPr>
        <w:tab/>
        <w:t>P</w:t>
      </w:r>
      <w:r w:rsidRPr="00817A34">
        <w:rPr>
          <w:b/>
        </w:rPr>
        <w:t xml:space="preserve">révoir </w:t>
      </w:r>
      <w:r w:rsidR="00461F1E" w:rsidRPr="00817A34">
        <w:rPr>
          <w:b/>
        </w:rPr>
        <w:t>des sanctions et des pénalités pour les entreprises qui, par leurs activités, polluent les ressources en eau ;</w:t>
      </w:r>
    </w:p>
    <w:p w14:paraId="799E1696" w14:textId="02AF3F72" w:rsidR="008F25E2" w:rsidRDefault="008F25E2" w:rsidP="008F25E2">
      <w:pPr>
        <w:pStyle w:val="SingleTxtG"/>
        <w:tabs>
          <w:tab w:val="left" w:pos="720"/>
        </w:tabs>
        <w:rPr>
          <w:b/>
        </w:rPr>
      </w:pPr>
      <w:r>
        <w:rPr>
          <w:b/>
        </w:rPr>
        <w:tab/>
      </w:r>
      <w:r>
        <w:rPr>
          <w:b/>
        </w:rPr>
        <w:tab/>
        <w:t xml:space="preserve">d) </w:t>
      </w:r>
      <w:r>
        <w:rPr>
          <w:b/>
        </w:rPr>
        <w:tab/>
      </w:r>
      <w:r w:rsidR="001139FB">
        <w:rPr>
          <w:b/>
        </w:rPr>
        <w:t>M</w:t>
      </w:r>
      <w:r w:rsidR="00461F1E" w:rsidRPr="00817A34">
        <w:rPr>
          <w:b/>
        </w:rPr>
        <w:t>ettre en place un système adéquat et durable de gestion et de traitement des eaux usées</w:t>
      </w:r>
      <w:r>
        <w:rPr>
          <w:b/>
        </w:rPr>
        <w:t> ;</w:t>
      </w:r>
    </w:p>
    <w:p w14:paraId="73C8C111" w14:textId="511CCB32" w:rsidR="008F25E2" w:rsidRDefault="001139FB" w:rsidP="008F25E2">
      <w:pPr>
        <w:pStyle w:val="SingleTxtG"/>
        <w:tabs>
          <w:tab w:val="left" w:pos="720"/>
        </w:tabs>
        <w:rPr>
          <w:b/>
          <w:lang w:val="fr-FR" w:eastAsia="zh-CN"/>
        </w:rPr>
      </w:pPr>
      <w:r>
        <w:rPr>
          <w:b/>
        </w:rPr>
        <w:tab/>
      </w:r>
      <w:r>
        <w:rPr>
          <w:b/>
        </w:rPr>
        <w:tab/>
      </w:r>
      <w:r w:rsidR="008F25E2">
        <w:rPr>
          <w:b/>
        </w:rPr>
        <w:t xml:space="preserve">e) </w:t>
      </w:r>
      <w:r>
        <w:rPr>
          <w:b/>
        </w:rPr>
        <w:tab/>
      </w:r>
      <w:r w:rsidRPr="00817A34">
        <w:rPr>
          <w:b/>
        </w:rPr>
        <w:t>É</w:t>
      </w:r>
      <w:r w:rsidR="00571422" w:rsidRPr="00817A34">
        <w:rPr>
          <w:b/>
        </w:rPr>
        <w:t xml:space="preserve">largir les </w:t>
      </w:r>
      <w:r w:rsidR="00461F1E" w:rsidRPr="00817A34">
        <w:rPr>
          <w:b/>
        </w:rPr>
        <w:t>programme</w:t>
      </w:r>
      <w:r w:rsidR="00571422" w:rsidRPr="00817A34">
        <w:rPr>
          <w:b/>
        </w:rPr>
        <w:t>s</w:t>
      </w:r>
      <w:r w:rsidR="00461F1E" w:rsidRPr="00817A34">
        <w:rPr>
          <w:b/>
        </w:rPr>
        <w:t xml:space="preserve"> </w:t>
      </w:r>
      <w:r w:rsidR="00571422" w:rsidRPr="00817A34">
        <w:rPr>
          <w:b/>
        </w:rPr>
        <w:t xml:space="preserve">de réparation </w:t>
      </w:r>
      <w:r w:rsidR="00461F1E" w:rsidRPr="00817A34">
        <w:rPr>
          <w:b/>
        </w:rPr>
        <w:t xml:space="preserve">pour les personnes affectées par la pollution des eaux, notamment </w:t>
      </w:r>
      <w:r w:rsidR="00461F1E" w:rsidRPr="00817A34">
        <w:rPr>
          <w:b/>
          <w:lang w:val="fr-FR" w:eastAsia="zh-CN"/>
        </w:rPr>
        <w:t>en Guyane, Guadeloupe et Martinique</w:t>
      </w:r>
      <w:r w:rsidR="008F25E2">
        <w:rPr>
          <w:b/>
          <w:lang w:val="fr-FR" w:eastAsia="zh-CN"/>
        </w:rPr>
        <w:t> ;</w:t>
      </w:r>
    </w:p>
    <w:p w14:paraId="3559D36A" w14:textId="7A0EA63D" w:rsidR="00461F1E" w:rsidRPr="00C5568F" w:rsidRDefault="001139FB" w:rsidP="008F25E2">
      <w:pPr>
        <w:pStyle w:val="SingleTxtG"/>
        <w:tabs>
          <w:tab w:val="left" w:pos="720"/>
        </w:tabs>
        <w:rPr>
          <w:b/>
        </w:rPr>
      </w:pPr>
      <w:r>
        <w:rPr>
          <w:b/>
          <w:lang w:val="fr-FR" w:eastAsia="zh-CN"/>
        </w:rPr>
        <w:tab/>
      </w:r>
      <w:r>
        <w:rPr>
          <w:b/>
          <w:lang w:val="fr-FR" w:eastAsia="zh-CN"/>
        </w:rPr>
        <w:tab/>
      </w:r>
      <w:r w:rsidR="008F25E2">
        <w:rPr>
          <w:b/>
          <w:lang w:val="fr-FR" w:eastAsia="zh-CN"/>
        </w:rPr>
        <w:t xml:space="preserve">f) </w:t>
      </w:r>
      <w:r>
        <w:rPr>
          <w:b/>
          <w:lang w:val="fr-FR" w:eastAsia="zh-CN"/>
        </w:rPr>
        <w:tab/>
      </w:r>
      <w:r w:rsidR="00447C64">
        <w:rPr>
          <w:b/>
          <w:lang w:val="fr-FR" w:eastAsia="zh-CN"/>
        </w:rPr>
        <w:t>Élaborer</w:t>
      </w:r>
      <w:r>
        <w:rPr>
          <w:b/>
          <w:lang w:val="fr-FR" w:eastAsia="zh-CN"/>
        </w:rPr>
        <w:t xml:space="preserve"> </w:t>
      </w:r>
      <w:r w:rsidR="001E7C7A">
        <w:rPr>
          <w:b/>
          <w:lang w:val="fr-FR" w:eastAsia="zh-CN"/>
        </w:rPr>
        <w:t xml:space="preserve">une stratégie à long terme afin de garantir que les habitants de </w:t>
      </w:r>
      <w:r w:rsidR="000D463C" w:rsidRPr="00817A34">
        <w:rPr>
          <w:b/>
          <w:lang w:val="fr-FR" w:eastAsia="zh-CN"/>
        </w:rPr>
        <w:t>Guyane, Guadeloupe et Martinique</w:t>
      </w:r>
      <w:r w:rsidR="000D463C" w:rsidDel="000D463C">
        <w:rPr>
          <w:b/>
          <w:lang w:val="fr-FR" w:eastAsia="zh-CN"/>
        </w:rPr>
        <w:t xml:space="preserve"> </w:t>
      </w:r>
      <w:r w:rsidR="001E7C7A">
        <w:rPr>
          <w:b/>
          <w:lang w:val="fr-FR" w:eastAsia="zh-CN"/>
        </w:rPr>
        <w:t>ai</w:t>
      </w:r>
      <w:r w:rsidR="00E03152">
        <w:rPr>
          <w:b/>
          <w:lang w:val="fr-FR" w:eastAsia="zh-CN"/>
        </w:rPr>
        <w:t xml:space="preserve">ent accès à l’eau et à des aliments libres de contamination. </w:t>
      </w:r>
    </w:p>
    <w:p w14:paraId="002520DE" w14:textId="49291C4D" w:rsidR="00EC47B1" w:rsidRPr="00817A34" w:rsidRDefault="00AB261D" w:rsidP="00AB261D">
      <w:pPr>
        <w:pStyle w:val="H23G"/>
        <w:tabs>
          <w:tab w:val="clear" w:pos="720"/>
          <w:tab w:val="clear" w:pos="851"/>
        </w:tabs>
        <w:ind w:left="1134"/>
      </w:pPr>
      <w:r>
        <w:tab/>
      </w:r>
      <w:r w:rsidR="00EC47B1" w:rsidRPr="00817A34">
        <w:t xml:space="preserve">Droit à la santé physique et mentale </w:t>
      </w:r>
    </w:p>
    <w:p w14:paraId="1A61F724" w14:textId="54C816C2" w:rsidR="000F7FA9" w:rsidRPr="00817A34" w:rsidRDefault="00CE2668" w:rsidP="000F7FA9">
      <w:pPr>
        <w:pStyle w:val="SingleTxtG"/>
        <w:tabs>
          <w:tab w:val="left" w:pos="720"/>
        </w:tabs>
        <w:rPr>
          <w:lang w:val="fr-FR"/>
        </w:rPr>
      </w:pPr>
      <w:r w:rsidRPr="00817A34">
        <w:rPr>
          <w:lang w:val="fr-FR"/>
        </w:rPr>
        <w:t>4</w:t>
      </w:r>
      <w:r>
        <w:rPr>
          <w:lang w:val="fr-FR"/>
        </w:rPr>
        <w:t>8</w:t>
      </w:r>
      <w:r w:rsidR="00EC47B1" w:rsidRPr="00817A34">
        <w:rPr>
          <w:lang w:val="fr-FR"/>
        </w:rPr>
        <w:t xml:space="preserve">. </w:t>
      </w:r>
      <w:r w:rsidR="00EC47B1" w:rsidRPr="00817A34">
        <w:rPr>
          <w:lang w:val="fr-FR"/>
        </w:rPr>
        <w:tab/>
        <w:t>Le Comité</w:t>
      </w:r>
      <w:r w:rsidR="003C1C6D" w:rsidRPr="00817A34">
        <w:rPr>
          <w:lang w:val="fr-FR"/>
        </w:rPr>
        <w:t xml:space="preserve"> </w:t>
      </w:r>
      <w:r w:rsidR="00C66EA5" w:rsidRPr="00817A34">
        <w:rPr>
          <w:lang w:val="fr-FR"/>
        </w:rPr>
        <w:t xml:space="preserve">est préoccupé par </w:t>
      </w:r>
      <w:r w:rsidR="003C1C6D" w:rsidRPr="00817A34">
        <w:rPr>
          <w:lang w:val="fr-FR"/>
        </w:rPr>
        <w:t>les</w:t>
      </w:r>
      <w:r w:rsidR="00C66EA5" w:rsidRPr="00817A34">
        <w:rPr>
          <w:lang w:val="fr-FR"/>
        </w:rPr>
        <w:t xml:space="preserve"> inégalités territoriales en ce qui concerne l’accès </w:t>
      </w:r>
      <w:r w:rsidR="00EA61C6" w:rsidRPr="00817A34">
        <w:rPr>
          <w:lang w:val="fr-FR"/>
        </w:rPr>
        <w:t>aux services de</w:t>
      </w:r>
      <w:r w:rsidR="00C66EA5" w:rsidRPr="00817A34">
        <w:rPr>
          <w:lang w:val="fr-FR"/>
        </w:rPr>
        <w:t xml:space="preserve"> santé, en raison d’un financement inadéquat du système de santé, de la répartition inégale dans l’ensemble du territoire de</w:t>
      </w:r>
      <w:r w:rsidR="00F96814">
        <w:rPr>
          <w:lang w:val="fr-FR"/>
        </w:rPr>
        <w:t>s</w:t>
      </w:r>
      <w:r w:rsidR="00C66EA5" w:rsidRPr="00817A34">
        <w:rPr>
          <w:lang w:val="fr-FR"/>
        </w:rPr>
        <w:t xml:space="preserve"> professionnels de santé, et de la suppression de lits dans les hôpitaux. Le Comité constate avec préoccupation que les zones rurales et </w:t>
      </w:r>
      <w:r w:rsidR="00EB23E1" w:rsidRPr="00817A34">
        <w:rPr>
          <w:lang w:val="fr-FR"/>
        </w:rPr>
        <w:t xml:space="preserve">certaines banlieues défavorisées sont gravement impactées par ces </w:t>
      </w:r>
      <w:r w:rsidR="00CE6456">
        <w:rPr>
          <w:lang w:val="fr-FR"/>
        </w:rPr>
        <w:t>« </w:t>
      </w:r>
      <w:r w:rsidR="00EB23E1" w:rsidRPr="00817A34">
        <w:rPr>
          <w:lang w:val="fr-FR"/>
        </w:rPr>
        <w:t>déserts médicaux</w:t>
      </w:r>
      <w:r w:rsidR="00CE6456">
        <w:rPr>
          <w:lang w:val="fr-FR"/>
        </w:rPr>
        <w:t> »</w:t>
      </w:r>
      <w:r w:rsidR="00EB23E1" w:rsidRPr="00817A34">
        <w:rPr>
          <w:lang w:val="fr-FR"/>
        </w:rPr>
        <w:t xml:space="preserve"> (art. 12). </w:t>
      </w:r>
      <w:r w:rsidR="00EB23E1" w:rsidRPr="00817A34">
        <w:rPr>
          <w:lang w:val="fr-FR"/>
        </w:rPr>
        <w:tab/>
      </w:r>
    </w:p>
    <w:p w14:paraId="158CC9F6" w14:textId="5D22AEA4" w:rsidR="001139FB" w:rsidRDefault="001139FB" w:rsidP="00EB23E1">
      <w:pPr>
        <w:pStyle w:val="SingleTxtG"/>
        <w:tabs>
          <w:tab w:val="left" w:pos="720"/>
        </w:tabs>
        <w:rPr>
          <w:b/>
          <w:bCs/>
          <w:lang w:val="fr-FR"/>
        </w:rPr>
      </w:pPr>
      <w:r w:rsidRPr="00817A34">
        <w:rPr>
          <w:lang w:val="fr-FR"/>
        </w:rPr>
        <w:t>4</w:t>
      </w:r>
      <w:r>
        <w:rPr>
          <w:lang w:val="fr-FR"/>
        </w:rPr>
        <w:t>9</w:t>
      </w:r>
      <w:r w:rsidR="00EC47B1" w:rsidRPr="00817A34">
        <w:rPr>
          <w:lang w:val="fr-FR"/>
        </w:rPr>
        <w:t xml:space="preserve">. </w:t>
      </w:r>
      <w:r w:rsidR="00EC47B1" w:rsidRPr="00817A34">
        <w:rPr>
          <w:lang w:val="fr-FR"/>
        </w:rPr>
        <w:tab/>
      </w:r>
      <w:r w:rsidR="00EC47B1" w:rsidRPr="00817A34">
        <w:rPr>
          <w:b/>
          <w:bCs/>
          <w:lang w:val="fr-FR"/>
        </w:rPr>
        <w:t>Le Comité recommande à l’État partie</w:t>
      </w:r>
      <w:r w:rsidR="00370ACC">
        <w:rPr>
          <w:b/>
          <w:bCs/>
          <w:lang w:val="fr-FR"/>
        </w:rPr>
        <w:t> :</w:t>
      </w:r>
    </w:p>
    <w:p w14:paraId="2D0B1278" w14:textId="689733D8" w:rsidR="001139FB" w:rsidRDefault="001139FB" w:rsidP="00EB23E1">
      <w:pPr>
        <w:pStyle w:val="SingleTxtG"/>
        <w:tabs>
          <w:tab w:val="left" w:pos="720"/>
        </w:tabs>
        <w:rPr>
          <w:b/>
          <w:bCs/>
          <w:lang w:val="fr-FR"/>
        </w:rPr>
      </w:pPr>
      <w:r>
        <w:rPr>
          <w:lang w:val="fr-FR"/>
        </w:rPr>
        <w:tab/>
      </w:r>
      <w:r>
        <w:rPr>
          <w:lang w:val="fr-FR"/>
        </w:rPr>
        <w:tab/>
      </w:r>
      <w:r w:rsidR="00370ACC">
        <w:rPr>
          <w:b/>
          <w:bCs/>
          <w:lang w:val="fr-FR"/>
        </w:rPr>
        <w:t xml:space="preserve"> a)</w:t>
      </w:r>
      <w:r w:rsidR="00EB23E1" w:rsidRPr="00817A34">
        <w:rPr>
          <w:b/>
          <w:bCs/>
          <w:lang w:val="fr-FR"/>
        </w:rPr>
        <w:t xml:space="preserve"> </w:t>
      </w:r>
      <w:r>
        <w:rPr>
          <w:b/>
          <w:bCs/>
          <w:lang w:val="fr-FR"/>
        </w:rPr>
        <w:tab/>
      </w:r>
      <w:r w:rsidRPr="00817A34">
        <w:rPr>
          <w:b/>
          <w:bCs/>
        </w:rPr>
        <w:t>D</w:t>
      </w:r>
      <w:r w:rsidR="00EB23E1" w:rsidRPr="00817A34">
        <w:rPr>
          <w:b/>
          <w:bCs/>
        </w:rPr>
        <w:t>’allouer des ressources suffisantes au secteur de la santé, de poursuivre ses efforts pour garantir l’accessibilité, la disponibilité et la qualité des soins de santé dans toutes les régions, en particulier dans les zones rurales et</w:t>
      </w:r>
      <w:r w:rsidR="00B33C57" w:rsidRPr="00817A34">
        <w:rPr>
          <w:b/>
          <w:bCs/>
        </w:rPr>
        <w:t xml:space="preserve"> les</w:t>
      </w:r>
      <w:r w:rsidR="00EB23E1" w:rsidRPr="00817A34">
        <w:rPr>
          <w:b/>
          <w:bCs/>
        </w:rPr>
        <w:t xml:space="preserve"> </w:t>
      </w:r>
      <w:r w:rsidR="00B33C57" w:rsidRPr="00817A34">
        <w:rPr>
          <w:b/>
          <w:bCs/>
          <w:lang w:val="fr-FR"/>
        </w:rPr>
        <w:t>banlieues défavorisées</w:t>
      </w:r>
      <w:r w:rsidR="00370ACC">
        <w:rPr>
          <w:b/>
          <w:bCs/>
          <w:lang w:val="fr-FR"/>
        </w:rPr>
        <w:t> ;</w:t>
      </w:r>
    </w:p>
    <w:p w14:paraId="29FEBB1E" w14:textId="501C1202" w:rsidR="001139FB" w:rsidRDefault="001139FB" w:rsidP="00EB23E1">
      <w:pPr>
        <w:pStyle w:val="SingleTxtG"/>
        <w:tabs>
          <w:tab w:val="left" w:pos="720"/>
        </w:tabs>
        <w:rPr>
          <w:b/>
          <w:bCs/>
        </w:rPr>
      </w:pPr>
      <w:r>
        <w:rPr>
          <w:b/>
          <w:bCs/>
          <w:lang w:val="fr-FR"/>
        </w:rPr>
        <w:tab/>
      </w:r>
      <w:r>
        <w:rPr>
          <w:b/>
          <w:bCs/>
          <w:lang w:val="fr-FR"/>
        </w:rPr>
        <w:tab/>
      </w:r>
      <w:r w:rsidR="00370ACC">
        <w:rPr>
          <w:b/>
          <w:bCs/>
          <w:lang w:val="fr-FR"/>
        </w:rPr>
        <w:t xml:space="preserve"> b)</w:t>
      </w:r>
      <w:r w:rsidR="002E463E" w:rsidRPr="00817A34">
        <w:rPr>
          <w:b/>
          <w:bCs/>
          <w:lang w:val="fr-FR"/>
        </w:rPr>
        <w:t xml:space="preserve"> </w:t>
      </w:r>
      <w:r w:rsidR="0001308B">
        <w:rPr>
          <w:b/>
          <w:bCs/>
          <w:lang w:val="fr-FR"/>
        </w:rPr>
        <w:tab/>
      </w:r>
      <w:r>
        <w:rPr>
          <w:b/>
          <w:bCs/>
          <w:lang w:val="fr-FR"/>
        </w:rPr>
        <w:t>D</w:t>
      </w:r>
      <w:r w:rsidRPr="00817A34">
        <w:rPr>
          <w:b/>
          <w:bCs/>
          <w:lang w:val="fr-FR"/>
        </w:rPr>
        <w:t xml:space="preserve">e </w:t>
      </w:r>
      <w:r w:rsidR="00EB23E1" w:rsidRPr="00817A34">
        <w:rPr>
          <w:b/>
          <w:bCs/>
        </w:rPr>
        <w:t>veiller à ce que les hôpitaux disposent d</w:t>
      </w:r>
      <w:r w:rsidR="002E463E" w:rsidRPr="00817A34">
        <w:rPr>
          <w:b/>
          <w:bCs/>
        </w:rPr>
        <w:t>e professionnel</w:t>
      </w:r>
      <w:r w:rsidR="00CE6456">
        <w:rPr>
          <w:b/>
          <w:bCs/>
        </w:rPr>
        <w:t>s</w:t>
      </w:r>
      <w:r w:rsidR="002E463E" w:rsidRPr="00817A34">
        <w:rPr>
          <w:b/>
          <w:bCs/>
        </w:rPr>
        <w:t xml:space="preserve"> de santé et autre </w:t>
      </w:r>
      <w:r w:rsidR="00EB23E1" w:rsidRPr="00817A34">
        <w:rPr>
          <w:b/>
          <w:bCs/>
        </w:rPr>
        <w:t>personnel médical</w:t>
      </w:r>
      <w:r w:rsidR="002E463E" w:rsidRPr="00817A34">
        <w:rPr>
          <w:b/>
          <w:bCs/>
        </w:rPr>
        <w:t xml:space="preserve"> qualifié, ainsi que </w:t>
      </w:r>
      <w:r w:rsidR="00EB23E1" w:rsidRPr="00817A34">
        <w:rPr>
          <w:b/>
          <w:bCs/>
        </w:rPr>
        <w:t>des infrastructures</w:t>
      </w:r>
      <w:r w:rsidR="002E463E" w:rsidRPr="00817A34">
        <w:rPr>
          <w:b/>
          <w:bCs/>
        </w:rPr>
        <w:t xml:space="preserve">, </w:t>
      </w:r>
      <w:r w:rsidR="00EB23E1" w:rsidRPr="00817A34">
        <w:rPr>
          <w:b/>
          <w:bCs/>
        </w:rPr>
        <w:t>matériel médical</w:t>
      </w:r>
      <w:r w:rsidR="002E463E" w:rsidRPr="00817A34">
        <w:rPr>
          <w:b/>
          <w:bCs/>
        </w:rPr>
        <w:t xml:space="preserve"> et médicaments</w:t>
      </w:r>
      <w:r w:rsidR="00EB23E1" w:rsidRPr="00817A34">
        <w:rPr>
          <w:b/>
          <w:bCs/>
        </w:rPr>
        <w:t>, en quantité suffisante</w:t>
      </w:r>
      <w:r w:rsidR="002E463E" w:rsidRPr="00817A34">
        <w:rPr>
          <w:b/>
          <w:bCs/>
        </w:rPr>
        <w:t>.</w:t>
      </w:r>
      <w:r w:rsidR="00370ACC">
        <w:rPr>
          <w:b/>
          <w:bCs/>
        </w:rPr>
        <w:t xml:space="preserve"> ; </w:t>
      </w:r>
    </w:p>
    <w:p w14:paraId="31470D3A" w14:textId="155FD158" w:rsidR="00EC47B1" w:rsidRPr="00817A34" w:rsidRDefault="001139FB" w:rsidP="00EB23E1">
      <w:pPr>
        <w:pStyle w:val="SingleTxtG"/>
        <w:tabs>
          <w:tab w:val="left" w:pos="720"/>
        </w:tabs>
        <w:rPr>
          <w:lang w:val="fr-FR"/>
        </w:rPr>
      </w:pPr>
      <w:r>
        <w:rPr>
          <w:b/>
          <w:bCs/>
        </w:rPr>
        <w:tab/>
      </w:r>
      <w:r>
        <w:rPr>
          <w:b/>
          <w:bCs/>
        </w:rPr>
        <w:tab/>
      </w:r>
      <w:r w:rsidR="00370ACC">
        <w:rPr>
          <w:b/>
          <w:bCs/>
        </w:rPr>
        <w:t xml:space="preserve">c) </w:t>
      </w:r>
      <w:r>
        <w:rPr>
          <w:b/>
          <w:bCs/>
        </w:rPr>
        <w:tab/>
        <w:t xml:space="preserve">De </w:t>
      </w:r>
      <w:r w:rsidR="00CE6456">
        <w:rPr>
          <w:b/>
          <w:bCs/>
        </w:rPr>
        <w:t>prendre les mesures nécessaires pour améliorer les conditions de travail des professionnels de santé</w:t>
      </w:r>
      <w:r w:rsidR="00BF19AE">
        <w:rPr>
          <w:b/>
          <w:bCs/>
        </w:rPr>
        <w:t xml:space="preserve"> et du personnel médical</w:t>
      </w:r>
      <w:r w:rsidR="00CE6456">
        <w:rPr>
          <w:b/>
          <w:bCs/>
        </w:rPr>
        <w:t>, en particulier leur</w:t>
      </w:r>
      <w:r w:rsidR="000D463C">
        <w:rPr>
          <w:b/>
          <w:bCs/>
        </w:rPr>
        <w:t>s</w:t>
      </w:r>
      <w:r w:rsidR="00CE6456">
        <w:rPr>
          <w:b/>
          <w:bCs/>
        </w:rPr>
        <w:t xml:space="preserve"> salaires.</w:t>
      </w:r>
    </w:p>
    <w:p w14:paraId="4B0FACC7" w14:textId="17EED9AA" w:rsidR="008E563A" w:rsidRPr="00817A34" w:rsidRDefault="008E563A" w:rsidP="00AB261D">
      <w:pPr>
        <w:pStyle w:val="H23G"/>
        <w:tabs>
          <w:tab w:val="clear" w:pos="720"/>
          <w:tab w:val="clear" w:pos="851"/>
        </w:tabs>
        <w:ind w:left="1134"/>
      </w:pPr>
      <w:r w:rsidRPr="00817A34">
        <w:t xml:space="preserve">Accès </w:t>
      </w:r>
      <w:r w:rsidR="00B57209">
        <w:t>aux</w:t>
      </w:r>
      <w:r w:rsidRPr="00817A34">
        <w:t xml:space="preserve"> </w:t>
      </w:r>
      <w:r w:rsidR="00B57209">
        <w:t xml:space="preserve">services de </w:t>
      </w:r>
      <w:r w:rsidRPr="00817A34">
        <w:t xml:space="preserve">santé </w:t>
      </w:r>
      <w:r w:rsidR="00B57209">
        <w:t>pour les migrants</w:t>
      </w:r>
    </w:p>
    <w:p w14:paraId="7D16EAA9" w14:textId="4121072E" w:rsidR="00D60EC9" w:rsidRPr="00817A34" w:rsidRDefault="00A0491A" w:rsidP="0056361F">
      <w:pPr>
        <w:pStyle w:val="SingleTxtG"/>
        <w:tabs>
          <w:tab w:val="left" w:pos="720"/>
        </w:tabs>
        <w:rPr>
          <w:lang w:val="fr-FR"/>
        </w:rPr>
      </w:pPr>
      <w:r>
        <w:t>50</w:t>
      </w:r>
      <w:r w:rsidR="009A1D9C" w:rsidRPr="00817A34">
        <w:t>.</w:t>
      </w:r>
      <w:r w:rsidR="009A1D9C" w:rsidRPr="00817A34">
        <w:tab/>
      </w:r>
      <w:r w:rsidR="001D1493" w:rsidRPr="00817A34">
        <w:t xml:space="preserve">Le Comité constate avec préoccupation les informations selon </w:t>
      </w:r>
      <w:r w:rsidR="00BF19AE">
        <w:t xml:space="preserve">lesquelles </w:t>
      </w:r>
      <w:r w:rsidR="001D1493" w:rsidRPr="00817A34">
        <w:t>les personnes bénéficiaires de l’aide médicale d’</w:t>
      </w:r>
      <w:r w:rsidR="00BF19AE">
        <w:t>É</w:t>
      </w:r>
      <w:r w:rsidR="001D1493" w:rsidRPr="00817A34">
        <w:t>tat (AME), notamment les migrants en situation irrégulière</w:t>
      </w:r>
      <w:r w:rsidR="00BF19AE">
        <w:t xml:space="preserve">, </w:t>
      </w:r>
      <w:r w:rsidR="001D1493" w:rsidRPr="00817A34">
        <w:t>font face à des obstacles administratifs pour avoir accès aux soins. Le Comité est également préoccupé par les discussions, dans le contexte d’une nouvelle loi d’immigration, de remplacer</w:t>
      </w:r>
      <w:r w:rsidR="00D60EC9" w:rsidRPr="00817A34">
        <w:t xml:space="preserve"> l’AME </w:t>
      </w:r>
      <w:r w:rsidR="001D1493" w:rsidRPr="00817A34">
        <w:t xml:space="preserve">pour les migrants en situation irrégulière </w:t>
      </w:r>
      <w:r w:rsidR="00D60EC9" w:rsidRPr="00817A34">
        <w:t xml:space="preserve">par une aide « d’urgence » </w:t>
      </w:r>
      <w:r w:rsidR="00D60EC9" w:rsidRPr="00817A34">
        <w:rPr>
          <w:lang w:val="fr-FR"/>
        </w:rPr>
        <w:t>(art. 12)</w:t>
      </w:r>
      <w:r w:rsidR="006938F7">
        <w:rPr>
          <w:lang w:val="fr-FR"/>
        </w:rPr>
        <w:t>.</w:t>
      </w:r>
    </w:p>
    <w:p w14:paraId="34F66847" w14:textId="2B1D40EF" w:rsidR="001D1493" w:rsidRPr="00817A34" w:rsidRDefault="00A0491A" w:rsidP="0056361F">
      <w:pPr>
        <w:pStyle w:val="SingleTxtG"/>
        <w:tabs>
          <w:tab w:val="left" w:pos="720"/>
        </w:tabs>
        <w:rPr>
          <w:b/>
          <w:bCs/>
          <w:lang w:val="fr-FR"/>
        </w:rPr>
      </w:pPr>
      <w:bookmarkStart w:id="2" w:name="_Hlk148096640"/>
      <w:r>
        <w:t>51</w:t>
      </w:r>
      <w:r w:rsidR="009A1D9C" w:rsidRPr="00AB261D">
        <w:t>.</w:t>
      </w:r>
      <w:r w:rsidR="009A1D9C" w:rsidRPr="00AB261D">
        <w:tab/>
      </w:r>
      <w:r w:rsidR="001D1493" w:rsidRPr="00817A34">
        <w:rPr>
          <w:b/>
          <w:bCs/>
        </w:rPr>
        <w:t>Le Comité prie l’</w:t>
      </w:r>
      <w:r w:rsidR="00BF19AE">
        <w:rPr>
          <w:b/>
          <w:bCs/>
        </w:rPr>
        <w:t>É</w:t>
      </w:r>
      <w:r w:rsidR="001D1493" w:rsidRPr="00817A34">
        <w:rPr>
          <w:b/>
          <w:bCs/>
        </w:rPr>
        <w:t xml:space="preserve">tat partie </w:t>
      </w:r>
      <w:r w:rsidR="00EA61C6" w:rsidRPr="00817A34">
        <w:rPr>
          <w:b/>
          <w:bCs/>
        </w:rPr>
        <w:t xml:space="preserve">de </w:t>
      </w:r>
      <w:r w:rsidR="001D1493" w:rsidRPr="00817A34">
        <w:rPr>
          <w:b/>
          <w:bCs/>
        </w:rPr>
        <w:t xml:space="preserve">prendre les </w:t>
      </w:r>
      <w:r w:rsidR="007B210B">
        <w:rPr>
          <w:b/>
          <w:bCs/>
        </w:rPr>
        <w:t>mesures</w:t>
      </w:r>
      <w:r w:rsidR="007B210B" w:rsidRPr="00817A34">
        <w:rPr>
          <w:b/>
          <w:bCs/>
        </w:rPr>
        <w:t xml:space="preserve"> </w:t>
      </w:r>
      <w:r w:rsidR="001D1493" w:rsidRPr="00817A34">
        <w:rPr>
          <w:b/>
          <w:bCs/>
        </w:rPr>
        <w:t xml:space="preserve">nécessaires pour </w:t>
      </w:r>
      <w:r w:rsidR="008757CD" w:rsidRPr="00817A34">
        <w:rPr>
          <w:b/>
          <w:bCs/>
        </w:rPr>
        <w:t xml:space="preserve">assurer </w:t>
      </w:r>
      <w:r w:rsidR="001D1493" w:rsidRPr="00817A34">
        <w:rPr>
          <w:b/>
          <w:bCs/>
        </w:rPr>
        <w:t>que les personnes bénéficiaires de l’aide médicale d’</w:t>
      </w:r>
      <w:r w:rsidR="00BF19AE">
        <w:rPr>
          <w:b/>
          <w:bCs/>
        </w:rPr>
        <w:t>É</w:t>
      </w:r>
      <w:r w:rsidR="001D1493" w:rsidRPr="00817A34">
        <w:rPr>
          <w:b/>
          <w:bCs/>
        </w:rPr>
        <w:t xml:space="preserve">tat puissent avoir accès effectif </w:t>
      </w:r>
      <w:bookmarkEnd w:id="2"/>
      <w:r w:rsidR="001D1493" w:rsidRPr="00817A34">
        <w:rPr>
          <w:b/>
          <w:bCs/>
        </w:rPr>
        <w:t>aux services de santé et que les migrants en situation irrégulière aient accès à tous les services de santé nécessaires, sans aucune discrimination, conformément aux articles 2 et 12 du Pacte. Le Comité renvoie l’État partie à son observation générale n o 14 (2000) sur le droit au meilleur état de santé susceptible d’être atteint</w:t>
      </w:r>
      <w:r w:rsidR="00B51CD8">
        <w:rPr>
          <w:b/>
          <w:bCs/>
        </w:rPr>
        <w:t xml:space="preserve"> et à sa déclaration sur les devoirs des États envers les réfugiés et les migrants au titre du Pacte international relatif aux droits économiques, sociaux et culturels (2017)</w:t>
      </w:r>
      <w:r w:rsidR="001D1493" w:rsidRPr="00817A34">
        <w:rPr>
          <w:b/>
          <w:bCs/>
        </w:rPr>
        <w:t xml:space="preserve">. </w:t>
      </w:r>
    </w:p>
    <w:p w14:paraId="763A37A9" w14:textId="1C50E6C5" w:rsidR="00EB23E1" w:rsidRPr="00817A34" w:rsidRDefault="00EA61C6" w:rsidP="00AB261D">
      <w:pPr>
        <w:pStyle w:val="H23G"/>
        <w:tabs>
          <w:tab w:val="clear" w:pos="720"/>
          <w:tab w:val="clear" w:pos="851"/>
        </w:tabs>
        <w:ind w:left="1134"/>
        <w:rPr>
          <w:b w:val="0"/>
        </w:rPr>
      </w:pPr>
      <w:r w:rsidRPr="00817A34">
        <w:lastRenderedPageBreak/>
        <w:t xml:space="preserve">Consommateurs </w:t>
      </w:r>
      <w:r w:rsidR="00EB23E1" w:rsidRPr="00817A34">
        <w:t>de</w:t>
      </w:r>
      <w:r w:rsidR="00EF5B5C">
        <w:t xml:space="preserve"> </w:t>
      </w:r>
      <w:r w:rsidR="00EB23E1" w:rsidRPr="00817A34">
        <w:t>drogue</w:t>
      </w:r>
      <w:r w:rsidR="0026576A" w:rsidRPr="00817A34">
        <w:t>s</w:t>
      </w:r>
      <w:r w:rsidR="00EB23E1" w:rsidRPr="00817A34">
        <w:t xml:space="preserve"> </w:t>
      </w:r>
    </w:p>
    <w:p w14:paraId="32765737" w14:textId="1B1DFF13" w:rsidR="00EB23E1" w:rsidRPr="00817A34" w:rsidRDefault="00A0491A" w:rsidP="009A1D9C">
      <w:pPr>
        <w:pStyle w:val="SingleTxtG"/>
        <w:tabs>
          <w:tab w:val="left" w:pos="720"/>
        </w:tabs>
      </w:pPr>
      <w:r w:rsidRPr="00817A34">
        <w:t>5</w:t>
      </w:r>
      <w:r>
        <w:t>2</w:t>
      </w:r>
      <w:r w:rsidR="009A1D9C" w:rsidRPr="00817A34">
        <w:t>.</w:t>
      </w:r>
      <w:r w:rsidR="009A1D9C" w:rsidRPr="00817A34">
        <w:tab/>
      </w:r>
      <w:r w:rsidR="00EB23E1" w:rsidRPr="00817A34">
        <w:t xml:space="preserve">Bien que le Comité </w:t>
      </w:r>
      <w:r w:rsidR="0026576A" w:rsidRPr="00817A34">
        <w:t>reconnaisse</w:t>
      </w:r>
      <w:r w:rsidR="00EB23E1" w:rsidRPr="00817A34">
        <w:t xml:space="preserve"> les efforts déployés par l’</w:t>
      </w:r>
      <w:r w:rsidR="00BF19AE">
        <w:t>É</w:t>
      </w:r>
      <w:r w:rsidR="00EB23E1" w:rsidRPr="00817A34">
        <w:t xml:space="preserve">tat partie </w:t>
      </w:r>
      <w:r w:rsidR="00EF5B5C">
        <w:t>pour</w:t>
      </w:r>
      <w:r w:rsidR="00EF5B5C" w:rsidRPr="00817A34">
        <w:t xml:space="preserve"> </w:t>
      </w:r>
      <w:r w:rsidR="00EB23E1" w:rsidRPr="00817A34">
        <w:t>la réduction des risques pour les</w:t>
      </w:r>
      <w:r w:rsidR="0026576A" w:rsidRPr="00817A34">
        <w:t xml:space="preserve"> personnes </w:t>
      </w:r>
      <w:r w:rsidR="007B210B">
        <w:t xml:space="preserve">qui consomment </w:t>
      </w:r>
      <w:r w:rsidR="00EB23E1" w:rsidRPr="00817A34">
        <w:t>de</w:t>
      </w:r>
      <w:r w:rsidR="007B210B">
        <w:t>s</w:t>
      </w:r>
      <w:r w:rsidR="00EB23E1" w:rsidRPr="00817A34">
        <w:t xml:space="preserve"> drogue</w:t>
      </w:r>
      <w:r w:rsidR="0026576A" w:rsidRPr="00817A34">
        <w:t>s</w:t>
      </w:r>
      <w:r w:rsidR="00EB23E1" w:rsidRPr="00817A34">
        <w:t xml:space="preserve">, il est préoccupé par </w:t>
      </w:r>
      <w:r w:rsidR="00F96814" w:rsidRPr="00817A34">
        <w:t>l</w:t>
      </w:r>
      <w:r w:rsidR="00F96814">
        <w:t>a</w:t>
      </w:r>
      <w:r w:rsidR="00F96814" w:rsidRPr="00817A34">
        <w:t xml:space="preserve"> </w:t>
      </w:r>
      <w:r w:rsidR="00EB23E1" w:rsidRPr="00817A34">
        <w:t>disponibilité et</w:t>
      </w:r>
      <w:r w:rsidR="007B210B">
        <w:t xml:space="preserve"> l’</w:t>
      </w:r>
      <w:r w:rsidR="00EB23E1" w:rsidRPr="00817A34">
        <w:t>accessibilité</w:t>
      </w:r>
      <w:r w:rsidR="0026576A" w:rsidRPr="00817A34">
        <w:t xml:space="preserve"> effective</w:t>
      </w:r>
      <w:r w:rsidR="00EB23E1" w:rsidRPr="00817A34">
        <w:t xml:space="preserve"> de ces services (art. 12). </w:t>
      </w:r>
    </w:p>
    <w:p w14:paraId="00FCA689" w14:textId="51B45660" w:rsidR="00EB23E1" w:rsidRPr="00817A34" w:rsidRDefault="00A0491A" w:rsidP="009A1D9C">
      <w:pPr>
        <w:pStyle w:val="SingleTxtG"/>
        <w:tabs>
          <w:tab w:val="left" w:pos="720"/>
        </w:tabs>
        <w:rPr>
          <w:b/>
        </w:rPr>
      </w:pPr>
      <w:r w:rsidRPr="00AB261D">
        <w:rPr>
          <w:bCs/>
        </w:rPr>
        <w:t>5</w:t>
      </w:r>
      <w:r>
        <w:rPr>
          <w:bCs/>
        </w:rPr>
        <w:t>3</w:t>
      </w:r>
      <w:r w:rsidR="009A1D9C" w:rsidRPr="00AB261D">
        <w:rPr>
          <w:bCs/>
        </w:rPr>
        <w:t>.</w:t>
      </w:r>
      <w:r w:rsidR="009A1D9C" w:rsidRPr="00AB261D">
        <w:rPr>
          <w:bCs/>
        </w:rPr>
        <w:tab/>
      </w:r>
      <w:r w:rsidR="00EB23E1" w:rsidRPr="00817A34">
        <w:rPr>
          <w:b/>
        </w:rPr>
        <w:t>Le Comité recommande à l’</w:t>
      </w:r>
      <w:r w:rsidR="00BF19AE">
        <w:rPr>
          <w:b/>
        </w:rPr>
        <w:t>É</w:t>
      </w:r>
      <w:r w:rsidR="00EB23E1" w:rsidRPr="00817A34">
        <w:rPr>
          <w:b/>
        </w:rPr>
        <w:t>tat partie de veiller à ce que les services de réduction de risque pour les personnes qui consomment de la drogue ou d’autres substances soient disponibles et accessibles dans l’ensemble du territoire de l’</w:t>
      </w:r>
      <w:r w:rsidR="00BF19AE">
        <w:rPr>
          <w:b/>
        </w:rPr>
        <w:t>É</w:t>
      </w:r>
      <w:r w:rsidR="00EB23E1" w:rsidRPr="00817A34">
        <w:rPr>
          <w:b/>
        </w:rPr>
        <w:t>tat partie et à éliminer les obstacles qui pourraient limiter leur accès, notamment aux consommateurs de drogue</w:t>
      </w:r>
      <w:r w:rsidR="007B210B">
        <w:rPr>
          <w:b/>
        </w:rPr>
        <w:t xml:space="preserve"> appartenant aux </w:t>
      </w:r>
      <w:r w:rsidR="00EB23E1" w:rsidRPr="00817A34">
        <w:rPr>
          <w:b/>
        </w:rPr>
        <w:t>groupes</w:t>
      </w:r>
      <w:r w:rsidR="007B210B">
        <w:rPr>
          <w:b/>
        </w:rPr>
        <w:t xml:space="preserve"> les</w:t>
      </w:r>
      <w:r w:rsidR="00EB23E1" w:rsidRPr="00817A34">
        <w:rPr>
          <w:b/>
        </w:rPr>
        <w:t xml:space="preserve"> plus défavorisés ou marginalisés. </w:t>
      </w:r>
    </w:p>
    <w:p w14:paraId="0DD3269E" w14:textId="137DA431" w:rsidR="00EC47B1" w:rsidRPr="00817A34" w:rsidRDefault="0026576A" w:rsidP="00BF19AE">
      <w:pPr>
        <w:pStyle w:val="H23G"/>
        <w:tabs>
          <w:tab w:val="clear" w:pos="720"/>
          <w:tab w:val="clear" w:pos="851"/>
        </w:tabs>
        <w:ind w:left="1134"/>
      </w:pPr>
      <w:r w:rsidRPr="00817A34">
        <w:tab/>
      </w:r>
      <w:r w:rsidR="00EC47B1" w:rsidRPr="00817A34">
        <w:t xml:space="preserve">Droit à l’éducation </w:t>
      </w:r>
    </w:p>
    <w:p w14:paraId="7467E25D" w14:textId="0E628A4D" w:rsidR="009B558F" w:rsidRPr="00817A34" w:rsidRDefault="00A0491A" w:rsidP="005E3912">
      <w:pPr>
        <w:pStyle w:val="SingleTxtG"/>
        <w:rPr>
          <w:lang w:val="fr-FR"/>
        </w:rPr>
      </w:pPr>
      <w:r w:rsidRPr="00817A34">
        <w:rPr>
          <w:lang w:val="fr-FR"/>
        </w:rPr>
        <w:t>5</w:t>
      </w:r>
      <w:r>
        <w:rPr>
          <w:lang w:val="fr-FR"/>
        </w:rPr>
        <w:t>4</w:t>
      </w:r>
      <w:r w:rsidR="009A1D9C" w:rsidRPr="00817A34">
        <w:rPr>
          <w:lang w:val="fr-FR"/>
        </w:rPr>
        <w:t>.</w:t>
      </w:r>
      <w:r w:rsidR="009A1D9C" w:rsidRPr="00817A34">
        <w:rPr>
          <w:lang w:val="fr-FR"/>
        </w:rPr>
        <w:tab/>
      </w:r>
      <w:r w:rsidR="009B558F" w:rsidRPr="00817A34">
        <w:rPr>
          <w:lang w:val="fr-FR"/>
        </w:rPr>
        <w:t>Malgré les efforts déployés par l’État partie pour garantir l’accès à l’éducation, le Comité est préoccupé par :</w:t>
      </w:r>
    </w:p>
    <w:p w14:paraId="7FFF6CF9" w14:textId="66373CD7" w:rsidR="009B558F" w:rsidRPr="00817A34" w:rsidRDefault="009B558F" w:rsidP="009B558F">
      <w:pPr>
        <w:pStyle w:val="SingleTxtG"/>
        <w:numPr>
          <w:ilvl w:val="0"/>
          <w:numId w:val="30"/>
        </w:numPr>
        <w:ind w:left="1134" w:firstLine="567"/>
      </w:pPr>
      <w:r w:rsidRPr="00817A34">
        <w:rPr>
          <w:lang w:val="fr-FR"/>
        </w:rPr>
        <w:t xml:space="preserve">Les obstacles persistants auxquels font face </w:t>
      </w:r>
      <w:bookmarkStart w:id="3" w:name="_Hlk147424650"/>
      <w:r w:rsidRPr="00817A34">
        <w:rPr>
          <w:lang w:val="fr-FR"/>
        </w:rPr>
        <w:t xml:space="preserve">les enfants Roms, </w:t>
      </w:r>
      <w:r w:rsidR="008757CD" w:rsidRPr="00817A34">
        <w:rPr>
          <w:lang w:val="fr-FR"/>
        </w:rPr>
        <w:t xml:space="preserve">les </w:t>
      </w:r>
      <w:r w:rsidRPr="00817A34">
        <w:rPr>
          <w:lang w:val="fr-FR"/>
        </w:rPr>
        <w:t xml:space="preserve">gens du voyage, les enfants en situation de handicap et les enfants issus de milieux défavorisés </w:t>
      </w:r>
      <w:bookmarkEnd w:id="3"/>
      <w:r w:rsidRPr="00817A34">
        <w:rPr>
          <w:lang w:val="fr-FR"/>
        </w:rPr>
        <w:t>pour accéder à l’éducation, sans discrimination ;</w:t>
      </w:r>
    </w:p>
    <w:p w14:paraId="26257315" w14:textId="031E8777" w:rsidR="009B558F" w:rsidRPr="00817A34" w:rsidRDefault="009B558F" w:rsidP="009B558F">
      <w:pPr>
        <w:pStyle w:val="SingleTxtG"/>
        <w:numPr>
          <w:ilvl w:val="0"/>
          <w:numId w:val="30"/>
        </w:numPr>
        <w:ind w:left="1134" w:firstLine="567"/>
      </w:pPr>
      <w:r w:rsidRPr="00817A34">
        <w:t>Les informations sur le nombre élevé d’enfants non scolarisés</w:t>
      </w:r>
      <w:r w:rsidR="005E3912" w:rsidRPr="00817A34">
        <w:t>, ainsi que par le taux d’abandon scolaire</w:t>
      </w:r>
      <w:r w:rsidRPr="00817A34">
        <w:t>, notamment dans les territoires d’outre-mer</w:t>
      </w:r>
      <w:r w:rsidR="005E3912" w:rsidRPr="00817A34">
        <w:t xml:space="preserve">, ainsi que des enfants issus de milieux défavorisés </w:t>
      </w:r>
      <w:r w:rsidRPr="00817A34">
        <w:t xml:space="preserve">; </w:t>
      </w:r>
    </w:p>
    <w:p w14:paraId="552AA4A0" w14:textId="352060C3" w:rsidR="005E3912" w:rsidRPr="00817A34" w:rsidRDefault="005E3912" w:rsidP="009B558F">
      <w:pPr>
        <w:pStyle w:val="SingleTxtG"/>
        <w:numPr>
          <w:ilvl w:val="0"/>
          <w:numId w:val="30"/>
        </w:numPr>
        <w:ind w:left="1134" w:firstLine="567"/>
      </w:pPr>
      <w:r w:rsidRPr="00817A34">
        <w:t>Les cas graves d</w:t>
      </w:r>
      <w:r w:rsidR="00E03152">
        <w:t xml:space="preserve">e </w:t>
      </w:r>
      <w:r w:rsidRPr="00817A34">
        <w:t>harcèlement scolaire</w:t>
      </w:r>
      <w:r w:rsidR="007A43F1" w:rsidRPr="00817A34">
        <w:t>, dont certains</w:t>
      </w:r>
      <w:r w:rsidRPr="00817A34">
        <w:t xml:space="preserve"> ont </w:t>
      </w:r>
      <w:r w:rsidR="00E03152">
        <w:t>conduit</w:t>
      </w:r>
      <w:r w:rsidR="00E03152" w:rsidRPr="00817A34">
        <w:t xml:space="preserve"> </w:t>
      </w:r>
      <w:r w:rsidRPr="00817A34">
        <w:t xml:space="preserve">à des suicides ; </w:t>
      </w:r>
    </w:p>
    <w:p w14:paraId="38944C04" w14:textId="77777777" w:rsidR="005E3912" w:rsidRPr="00817A34" w:rsidRDefault="009B558F" w:rsidP="009B558F">
      <w:pPr>
        <w:pStyle w:val="SingleTxtG"/>
        <w:numPr>
          <w:ilvl w:val="0"/>
          <w:numId w:val="30"/>
        </w:numPr>
        <w:ind w:left="1134" w:firstLine="567"/>
      </w:pPr>
      <w:r w:rsidRPr="00817A34">
        <w:t xml:space="preserve">Les disparités persistantes entre le taux de réussite des enfants issus de milieux socio-économiques moins favorisés et </w:t>
      </w:r>
      <w:r w:rsidR="005E3912" w:rsidRPr="00817A34">
        <w:rPr>
          <w:lang w:val="fr-FR"/>
        </w:rPr>
        <w:t>celui des enfants issus d’un milieu favorisé ce qui constitue une entrave à la mobilité sociale </w:t>
      </w:r>
      <w:r w:rsidRPr="00817A34">
        <w:rPr>
          <w:lang w:val="fr-FR"/>
        </w:rPr>
        <w:t>;</w:t>
      </w:r>
    </w:p>
    <w:p w14:paraId="7DF050F3" w14:textId="3385C084" w:rsidR="00F41C68" w:rsidRPr="009C1666" w:rsidRDefault="007A43F1" w:rsidP="005E3912">
      <w:pPr>
        <w:pStyle w:val="SingleTxtG"/>
        <w:numPr>
          <w:ilvl w:val="0"/>
          <w:numId w:val="30"/>
        </w:numPr>
        <w:ind w:left="1134" w:firstLine="567"/>
        <w:rPr>
          <w:lang w:val="fr-FR"/>
        </w:rPr>
      </w:pPr>
      <w:r w:rsidRPr="00817A34">
        <w:rPr>
          <w:lang w:val="fr-FR" w:eastAsia="zh-CN"/>
        </w:rPr>
        <w:t xml:space="preserve">Les informations sur les dispositions introduites par la </w:t>
      </w:r>
      <w:r w:rsidRPr="00817A34">
        <w:rPr>
          <w:lang w:eastAsia="zh-CN"/>
        </w:rPr>
        <w:t>loi n° 2021-1109 du 24 août 2021 confortant le respect des principes de la République qui limiteraient la possibilité de pouvoir accéder à l’instruction en famille</w:t>
      </w:r>
      <w:r w:rsidR="00447C64">
        <w:rPr>
          <w:lang w:eastAsia="zh-CN"/>
        </w:rPr>
        <w:t> ;</w:t>
      </w:r>
    </w:p>
    <w:p w14:paraId="2088F9A6" w14:textId="313F21C6" w:rsidR="005E3912" w:rsidRPr="00817A34" w:rsidRDefault="00F41C68" w:rsidP="005E3912">
      <w:pPr>
        <w:pStyle w:val="SingleTxtG"/>
        <w:numPr>
          <w:ilvl w:val="0"/>
          <w:numId w:val="30"/>
        </w:numPr>
        <w:ind w:left="1134" w:firstLine="567"/>
        <w:rPr>
          <w:lang w:val="fr-FR"/>
        </w:rPr>
      </w:pPr>
      <w:r>
        <w:rPr>
          <w:lang w:eastAsia="zh-CN"/>
        </w:rPr>
        <w:t>Les conditions de travail des enseignants</w:t>
      </w:r>
      <w:r w:rsidR="00EC6A65">
        <w:rPr>
          <w:lang w:eastAsia="zh-CN"/>
        </w:rPr>
        <w:t xml:space="preserve"> qui ne bénéficient pas d’une rémunération adéquate </w:t>
      </w:r>
      <w:r w:rsidR="005E3912" w:rsidRPr="00817A34">
        <w:rPr>
          <w:lang w:val="fr-FR"/>
        </w:rPr>
        <w:t>(art. 13 et 14)</w:t>
      </w:r>
      <w:r w:rsidR="009D6B88" w:rsidRPr="00817A34">
        <w:rPr>
          <w:lang w:val="fr-FR"/>
        </w:rPr>
        <w:t>.</w:t>
      </w:r>
    </w:p>
    <w:p w14:paraId="1665BA55" w14:textId="75607540" w:rsidR="009B558F" w:rsidRPr="00817A34" w:rsidRDefault="00A0491A" w:rsidP="005E3912">
      <w:pPr>
        <w:pStyle w:val="SingleTxtG"/>
        <w:rPr>
          <w:b/>
        </w:rPr>
      </w:pPr>
      <w:r w:rsidRPr="00817A34">
        <w:rPr>
          <w:lang w:val="fr-FR"/>
        </w:rPr>
        <w:t>5</w:t>
      </w:r>
      <w:r>
        <w:rPr>
          <w:lang w:val="fr-FR"/>
        </w:rPr>
        <w:t>5</w:t>
      </w:r>
      <w:r w:rsidR="009A1D9C" w:rsidRPr="00817A34">
        <w:rPr>
          <w:lang w:val="fr-FR"/>
        </w:rPr>
        <w:t>.</w:t>
      </w:r>
      <w:r w:rsidR="009A1D9C" w:rsidRPr="00817A34">
        <w:rPr>
          <w:lang w:val="fr-FR"/>
        </w:rPr>
        <w:tab/>
      </w:r>
      <w:r w:rsidR="009B558F" w:rsidRPr="00817A34">
        <w:rPr>
          <w:b/>
        </w:rPr>
        <w:t xml:space="preserve">Le Comité recommande à l’État partie de prendre les mesures nécessaires pour : </w:t>
      </w:r>
    </w:p>
    <w:p w14:paraId="5054C94E" w14:textId="362CEFFB" w:rsidR="00155965" w:rsidRPr="00817A34" w:rsidRDefault="009B558F" w:rsidP="00155965">
      <w:pPr>
        <w:pStyle w:val="SingleTxtG"/>
        <w:numPr>
          <w:ilvl w:val="0"/>
          <w:numId w:val="31"/>
        </w:numPr>
        <w:ind w:left="1134" w:firstLine="567"/>
        <w:rPr>
          <w:b/>
        </w:rPr>
      </w:pPr>
      <w:r w:rsidRPr="00817A34">
        <w:rPr>
          <w:b/>
        </w:rPr>
        <w:t xml:space="preserve">Garantir que </w:t>
      </w:r>
      <w:r w:rsidR="00155965" w:rsidRPr="00817A34">
        <w:rPr>
          <w:b/>
          <w:lang w:val="fr-FR"/>
        </w:rPr>
        <w:t xml:space="preserve">les enfants Roms, </w:t>
      </w:r>
      <w:r w:rsidR="007B210B">
        <w:rPr>
          <w:b/>
          <w:lang w:val="fr-FR"/>
        </w:rPr>
        <w:t>des</w:t>
      </w:r>
      <w:r w:rsidR="007B210B" w:rsidRPr="00817A34">
        <w:rPr>
          <w:b/>
          <w:lang w:val="fr-FR"/>
        </w:rPr>
        <w:t xml:space="preserve"> </w:t>
      </w:r>
      <w:r w:rsidR="00155965" w:rsidRPr="00817A34">
        <w:rPr>
          <w:b/>
          <w:lang w:val="fr-FR"/>
        </w:rPr>
        <w:t xml:space="preserve">gens du voyage, les enfants en situation de handicap et les enfants issus de milieux défavorisés aient </w:t>
      </w:r>
      <w:r w:rsidRPr="00817A34">
        <w:rPr>
          <w:b/>
          <w:lang w:val="fr-FR"/>
        </w:rPr>
        <w:t>accès à une éducation de qualité, culturellement appropriée et adaptée à leurs besoins</w:t>
      </w:r>
      <w:r w:rsidR="00155965" w:rsidRPr="00817A34">
        <w:rPr>
          <w:b/>
          <w:lang w:val="fr-FR"/>
        </w:rPr>
        <w:t xml:space="preserve"> </w:t>
      </w:r>
      <w:r w:rsidRPr="00817A34">
        <w:rPr>
          <w:b/>
          <w:lang w:val="fr-FR"/>
        </w:rPr>
        <w:t xml:space="preserve">; </w:t>
      </w:r>
    </w:p>
    <w:p w14:paraId="31935E70" w14:textId="68CF3346" w:rsidR="009B558F" w:rsidRPr="00817A34" w:rsidRDefault="00155965" w:rsidP="00155965">
      <w:pPr>
        <w:pStyle w:val="SingleTxtG"/>
        <w:numPr>
          <w:ilvl w:val="0"/>
          <w:numId w:val="31"/>
        </w:numPr>
        <w:ind w:left="1134" w:firstLine="567"/>
        <w:rPr>
          <w:b/>
        </w:rPr>
      </w:pPr>
      <w:r w:rsidRPr="00817A34">
        <w:rPr>
          <w:b/>
        </w:rPr>
        <w:t>Assurer que tous les enfants, en particulier ceux qui habitent dans les territoires d’outre-mer soient scolarisés et continuer de réduire le taux de décrochage scolaire précoce, avec une attention particulière aux enfants issus des groupes moins favorisés</w:t>
      </w:r>
      <w:r w:rsidR="009B558F" w:rsidRPr="00817A34">
        <w:rPr>
          <w:b/>
        </w:rPr>
        <w:t xml:space="preserve"> ; </w:t>
      </w:r>
    </w:p>
    <w:p w14:paraId="786E97DF" w14:textId="3F9CEABA" w:rsidR="00E67929" w:rsidRPr="00817A34" w:rsidRDefault="00E67929" w:rsidP="00E67929">
      <w:pPr>
        <w:pStyle w:val="SingleTxtG"/>
        <w:numPr>
          <w:ilvl w:val="0"/>
          <w:numId w:val="31"/>
        </w:numPr>
        <w:ind w:left="1134" w:firstLine="567"/>
        <w:rPr>
          <w:b/>
        </w:rPr>
      </w:pPr>
      <w:r w:rsidRPr="00817A34">
        <w:rPr>
          <w:b/>
        </w:rPr>
        <w:t>Continuer à lutter contre le harcèlement scolaire, en mettant en place un</w:t>
      </w:r>
      <w:r w:rsidR="007B210B">
        <w:rPr>
          <w:b/>
        </w:rPr>
        <w:t>e</w:t>
      </w:r>
      <w:r w:rsidRPr="00817A34">
        <w:rPr>
          <w:b/>
        </w:rPr>
        <w:t xml:space="preserve"> politique stricte de zéro tolérance et</w:t>
      </w:r>
      <w:r w:rsidRPr="00817A34">
        <w:rPr>
          <w:b/>
          <w:bCs/>
        </w:rPr>
        <w:t xml:space="preserve"> des mesures efficaces de protection et soutien pour les élèves victimes de ces pratiques ; </w:t>
      </w:r>
    </w:p>
    <w:p w14:paraId="7D9AB38B" w14:textId="49EF6EA5" w:rsidR="009B558F" w:rsidRPr="00817A34" w:rsidRDefault="00E67929" w:rsidP="009B558F">
      <w:pPr>
        <w:pStyle w:val="SingleTxtG"/>
        <w:numPr>
          <w:ilvl w:val="0"/>
          <w:numId w:val="31"/>
        </w:numPr>
        <w:ind w:left="1134" w:firstLine="567"/>
        <w:rPr>
          <w:b/>
        </w:rPr>
      </w:pPr>
      <w:r w:rsidRPr="00817A34">
        <w:rPr>
          <w:b/>
        </w:rPr>
        <w:t>A</w:t>
      </w:r>
      <w:r w:rsidR="009B558F" w:rsidRPr="00817A34">
        <w:rPr>
          <w:b/>
        </w:rPr>
        <w:t>ugmenter le</w:t>
      </w:r>
      <w:r w:rsidR="009B558F" w:rsidRPr="00817A34">
        <w:rPr>
          <w:b/>
          <w:lang w:val="fr-FR"/>
        </w:rPr>
        <w:t xml:space="preserve"> taux de réussite scolaire des enfants issus de milieux défavorisés, et ceux issus de familles à faible revenu </w:t>
      </w:r>
      <w:r w:rsidRPr="00817A34">
        <w:rPr>
          <w:b/>
          <w:lang w:val="fr-FR"/>
        </w:rPr>
        <w:t>afin de favoriser la mobilité sociale</w:t>
      </w:r>
      <w:r w:rsidR="004C6F85" w:rsidRPr="00817A34">
        <w:rPr>
          <w:b/>
          <w:lang w:val="fr-FR"/>
        </w:rPr>
        <w:t> ;</w:t>
      </w:r>
      <w:r w:rsidR="009B558F" w:rsidRPr="00817A34">
        <w:rPr>
          <w:b/>
          <w:lang w:val="fr-FR"/>
        </w:rPr>
        <w:t xml:space="preserve"> </w:t>
      </w:r>
    </w:p>
    <w:p w14:paraId="443C8C2D" w14:textId="546C62B0" w:rsidR="004C6F85" w:rsidRPr="009C1666" w:rsidRDefault="004C6F85" w:rsidP="009B558F">
      <w:pPr>
        <w:pStyle w:val="SingleTxtG"/>
        <w:numPr>
          <w:ilvl w:val="0"/>
          <w:numId w:val="31"/>
        </w:numPr>
        <w:ind w:left="1134" w:firstLine="567"/>
        <w:rPr>
          <w:b/>
        </w:rPr>
      </w:pPr>
      <w:r w:rsidRPr="00817A34">
        <w:rPr>
          <w:b/>
          <w:bCs/>
          <w:lang w:eastAsia="zh-CN"/>
        </w:rPr>
        <w:t>Assurer que les principes de nécessité et proportionnalité, ainsi que les besoins particuliers et l’intérêt supérieur des enfants soient dûment pris en considération lors de la prise de décision sur l’autorisation de l’instruction en famille</w:t>
      </w:r>
      <w:r w:rsidR="00F41C68">
        <w:rPr>
          <w:b/>
          <w:bCs/>
          <w:lang w:eastAsia="zh-CN"/>
        </w:rPr>
        <w:t>, en tenant compte spécialement de l’article 13.3 du Pacte</w:t>
      </w:r>
      <w:r w:rsidR="00E03152">
        <w:rPr>
          <w:b/>
          <w:bCs/>
          <w:lang w:eastAsia="zh-CN"/>
        </w:rPr>
        <w:t xml:space="preserve"> ; </w:t>
      </w:r>
    </w:p>
    <w:p w14:paraId="5B37BF0D" w14:textId="05DD9C82" w:rsidR="00E03152" w:rsidRPr="00817A34" w:rsidRDefault="00E03152" w:rsidP="00EC6A65">
      <w:pPr>
        <w:pStyle w:val="SingleTxtG"/>
        <w:numPr>
          <w:ilvl w:val="0"/>
          <w:numId w:val="31"/>
        </w:numPr>
        <w:ind w:left="1134" w:firstLine="567"/>
        <w:rPr>
          <w:b/>
        </w:rPr>
      </w:pPr>
      <w:r>
        <w:rPr>
          <w:b/>
          <w:bCs/>
        </w:rPr>
        <w:t>Prendre les mesures nécessaires pour</w:t>
      </w:r>
      <w:r w:rsidR="00EC6A65">
        <w:rPr>
          <w:b/>
          <w:bCs/>
        </w:rPr>
        <w:t xml:space="preserve"> améliorer les conditions de travail des enseignants, notamment leur salaire et pour revaloriser la profession d’enseignant afin de </w:t>
      </w:r>
      <w:r w:rsidR="00EC6A65" w:rsidRPr="00EC6A65">
        <w:rPr>
          <w:b/>
          <w:bCs/>
          <w:lang w:val="fr-FR"/>
        </w:rPr>
        <w:t>relancer l’attractivité de cette profession</w:t>
      </w:r>
      <w:r w:rsidR="00F41C68">
        <w:rPr>
          <w:b/>
          <w:bCs/>
        </w:rPr>
        <w:t xml:space="preserve">. </w:t>
      </w:r>
    </w:p>
    <w:p w14:paraId="6F630E7F" w14:textId="27CD4E60" w:rsidR="007A43F1" w:rsidRPr="00817A34" w:rsidRDefault="007A43F1" w:rsidP="00AB261D">
      <w:pPr>
        <w:pStyle w:val="H23G"/>
        <w:tabs>
          <w:tab w:val="clear" w:pos="720"/>
          <w:tab w:val="clear" w:pos="851"/>
        </w:tabs>
        <w:ind w:left="1134"/>
      </w:pPr>
      <w:r w:rsidRPr="00817A34">
        <w:lastRenderedPageBreak/>
        <w:t>Enseignement supérieur</w:t>
      </w:r>
    </w:p>
    <w:p w14:paraId="5E03E86C" w14:textId="74CEC36C" w:rsidR="007A43F1" w:rsidRPr="00817A34" w:rsidRDefault="00A0491A" w:rsidP="00AB261D">
      <w:pPr>
        <w:pStyle w:val="SingleTxtG"/>
        <w:tabs>
          <w:tab w:val="left" w:pos="720"/>
        </w:tabs>
        <w:rPr>
          <w:b/>
          <w:bCs/>
          <w:lang w:val="fr-FR"/>
        </w:rPr>
      </w:pPr>
      <w:r w:rsidRPr="00817A34">
        <w:rPr>
          <w:lang w:val="fr-FR"/>
        </w:rPr>
        <w:t>5</w:t>
      </w:r>
      <w:r>
        <w:rPr>
          <w:lang w:val="fr-FR"/>
        </w:rPr>
        <w:t>6</w:t>
      </w:r>
      <w:r w:rsidR="007A43F1" w:rsidRPr="00817A34">
        <w:rPr>
          <w:lang w:val="fr-FR"/>
        </w:rPr>
        <w:t>.</w:t>
      </w:r>
      <w:r w:rsidR="007A43F1" w:rsidRPr="00817A34">
        <w:rPr>
          <w:lang w:val="fr-FR"/>
        </w:rPr>
        <w:tab/>
      </w:r>
      <w:r w:rsidR="007A43F1" w:rsidRPr="00817A34">
        <w:rPr>
          <w:bCs/>
          <w:lang w:val="fr-FR"/>
        </w:rPr>
        <w:t>Le Comité est préoccupé par les difficultés à accéder à l’enseignement supérieur par les étudiants issus de milieux socio-économiques défavorisés</w:t>
      </w:r>
      <w:r w:rsidR="006244B8" w:rsidRPr="00817A34">
        <w:rPr>
          <w:bCs/>
          <w:lang w:val="fr-FR"/>
        </w:rPr>
        <w:t xml:space="preserve"> et pas ceux des </w:t>
      </w:r>
      <w:r w:rsidR="007A43F1" w:rsidRPr="00817A34">
        <w:rPr>
          <w:bCs/>
          <w:lang w:val="fr-FR"/>
        </w:rPr>
        <w:t>régions où les possibilités d’enseignement supérieur sont limitées</w:t>
      </w:r>
      <w:r w:rsidR="006244B8" w:rsidRPr="00817A34">
        <w:rPr>
          <w:bCs/>
          <w:lang w:val="fr-FR"/>
        </w:rPr>
        <w:t xml:space="preserve">. Le Comité s’inquiète </w:t>
      </w:r>
      <w:r w:rsidR="007B210B">
        <w:rPr>
          <w:bCs/>
          <w:lang w:val="fr-FR"/>
        </w:rPr>
        <w:t>de la baisse constante du</w:t>
      </w:r>
      <w:r w:rsidR="006244B8" w:rsidRPr="00817A34">
        <w:rPr>
          <w:bCs/>
          <w:lang w:val="fr-FR"/>
        </w:rPr>
        <w:t xml:space="preserve"> budget par élève allouée par l’État ce qui</w:t>
      </w:r>
      <w:r w:rsidR="008522E2" w:rsidRPr="00817A34">
        <w:rPr>
          <w:bCs/>
          <w:lang w:val="fr-FR"/>
        </w:rPr>
        <w:t xml:space="preserve"> est contraire à l’obligation </w:t>
      </w:r>
      <w:r w:rsidR="008522E2" w:rsidRPr="00817A34">
        <w:rPr>
          <w:bCs/>
        </w:rPr>
        <w:t>d'assurer progressivement le plein exercice des droits reconnus dans le présent Pacte (a</w:t>
      </w:r>
      <w:r w:rsidR="007A43F1" w:rsidRPr="00817A34">
        <w:rPr>
          <w:bCs/>
        </w:rPr>
        <w:t>rts. 13 et 14).</w:t>
      </w:r>
    </w:p>
    <w:p w14:paraId="4C0AD91C" w14:textId="2164BADB" w:rsidR="007A43F1" w:rsidRPr="00817A34" w:rsidDel="007A43F1" w:rsidRDefault="00A0491A" w:rsidP="004C6F85">
      <w:pPr>
        <w:pStyle w:val="SingleTxtG"/>
        <w:tabs>
          <w:tab w:val="left" w:pos="720"/>
        </w:tabs>
        <w:rPr>
          <w:b/>
          <w:bCs/>
        </w:rPr>
      </w:pPr>
      <w:r w:rsidRPr="00817A34">
        <w:rPr>
          <w:lang w:eastAsia="zh-CN"/>
        </w:rPr>
        <w:t>5</w:t>
      </w:r>
      <w:r>
        <w:rPr>
          <w:lang w:eastAsia="zh-CN"/>
        </w:rPr>
        <w:t>7</w:t>
      </w:r>
      <w:r w:rsidR="00DB7DB2" w:rsidRPr="00817A34">
        <w:rPr>
          <w:lang w:eastAsia="zh-CN"/>
        </w:rPr>
        <w:t>.</w:t>
      </w:r>
      <w:r w:rsidR="00DB7DB2" w:rsidRPr="00817A34">
        <w:rPr>
          <w:lang w:eastAsia="zh-CN"/>
        </w:rPr>
        <w:tab/>
      </w:r>
      <w:r w:rsidR="00DB7DB2" w:rsidRPr="00817A34">
        <w:rPr>
          <w:b/>
          <w:bCs/>
          <w:lang w:eastAsia="zh-CN"/>
        </w:rPr>
        <w:t>Le Comité recommande à l’</w:t>
      </w:r>
      <w:r w:rsidR="006256DB">
        <w:rPr>
          <w:b/>
          <w:bCs/>
          <w:lang w:eastAsia="zh-CN"/>
        </w:rPr>
        <w:t>É</w:t>
      </w:r>
      <w:r w:rsidR="00DB7DB2" w:rsidRPr="00817A34">
        <w:rPr>
          <w:b/>
          <w:bCs/>
          <w:lang w:eastAsia="zh-CN"/>
        </w:rPr>
        <w:t>tat partie de</w:t>
      </w:r>
      <w:r w:rsidR="007A43F1" w:rsidRPr="00817A34">
        <w:rPr>
          <w:b/>
          <w:bCs/>
          <w:lang w:eastAsia="zh-CN"/>
        </w:rPr>
        <w:t xml:space="preserve"> </w:t>
      </w:r>
      <w:r w:rsidR="007A43F1" w:rsidRPr="00817A34">
        <w:rPr>
          <w:b/>
          <w:bCs/>
        </w:rPr>
        <w:t>d</w:t>
      </w:r>
      <w:r w:rsidR="007A43F1" w:rsidRPr="00817A34" w:rsidDel="007A43F1">
        <w:rPr>
          <w:b/>
          <w:bCs/>
        </w:rPr>
        <w:t xml:space="preserve">éployer les moyens nécessaires afin de rendre accessible l’enseignement supérieur à tous en pleine égalité, en tenant compte </w:t>
      </w:r>
      <w:r w:rsidR="007B210B">
        <w:rPr>
          <w:b/>
          <w:bCs/>
        </w:rPr>
        <w:t>d</w:t>
      </w:r>
      <w:r w:rsidR="007B210B" w:rsidRPr="00817A34" w:rsidDel="007A43F1">
        <w:rPr>
          <w:b/>
          <w:bCs/>
        </w:rPr>
        <w:t xml:space="preserve">es </w:t>
      </w:r>
      <w:r w:rsidR="007A43F1" w:rsidRPr="00817A34" w:rsidDel="007A43F1">
        <w:rPr>
          <w:b/>
          <w:bCs/>
        </w:rPr>
        <w:t>besoins d</w:t>
      </w:r>
      <w:r w:rsidR="007A43F1" w:rsidRPr="00817A34" w:rsidDel="007A43F1">
        <w:rPr>
          <w:b/>
          <w:bCs/>
          <w:lang w:val="fr-FR"/>
        </w:rPr>
        <w:t>es étudiants issus de milieux socio-économiques défavorisés et des régions où les possibilités d’enseignement supérieur sont limitées</w:t>
      </w:r>
      <w:r w:rsidR="007A43F1" w:rsidRPr="00817A34" w:rsidDel="007A43F1">
        <w:rPr>
          <w:b/>
          <w:bCs/>
        </w:rPr>
        <w:t>.</w:t>
      </w:r>
      <w:r w:rsidR="00A45037" w:rsidRPr="00817A34">
        <w:rPr>
          <w:b/>
          <w:bCs/>
        </w:rPr>
        <w:t xml:space="preserve"> Le Comité recommande également l’</w:t>
      </w:r>
      <w:r w:rsidR="006938F7" w:rsidRPr="00817A34">
        <w:rPr>
          <w:b/>
          <w:bCs/>
        </w:rPr>
        <w:t>État</w:t>
      </w:r>
      <w:r w:rsidR="00A45037" w:rsidRPr="00817A34">
        <w:rPr>
          <w:b/>
          <w:bCs/>
        </w:rPr>
        <w:t xml:space="preserve"> partie de revoir l’allocation du budget à l’enseignement supérieur visant à </w:t>
      </w:r>
      <w:r w:rsidR="00FF0325" w:rsidRPr="00817A34">
        <w:rPr>
          <w:b/>
          <w:lang w:val="fr-FR"/>
        </w:rPr>
        <w:t>l’instauration progressive de la gratuité</w:t>
      </w:r>
      <w:r w:rsidR="00A45037" w:rsidRPr="00817A34">
        <w:rPr>
          <w:b/>
          <w:lang w:val="fr-FR"/>
        </w:rPr>
        <w:t xml:space="preserve"> de celui-ci. </w:t>
      </w:r>
    </w:p>
    <w:p w14:paraId="03D81806" w14:textId="01601F41" w:rsidR="00EC47B1" w:rsidRPr="00817A34" w:rsidRDefault="00EC47B1" w:rsidP="00AB261D">
      <w:pPr>
        <w:pStyle w:val="H23G"/>
        <w:tabs>
          <w:tab w:val="clear" w:pos="720"/>
          <w:tab w:val="clear" w:pos="851"/>
        </w:tabs>
        <w:ind w:left="1134"/>
        <w:rPr>
          <w:b w:val="0"/>
        </w:rPr>
      </w:pPr>
      <w:r w:rsidRPr="00817A34">
        <w:t xml:space="preserve">Droits culturels </w:t>
      </w:r>
    </w:p>
    <w:p w14:paraId="141E4D76" w14:textId="19C00ECB" w:rsidR="00EC47B1" w:rsidRPr="00817A34" w:rsidRDefault="00A0491A" w:rsidP="00976EF9">
      <w:pPr>
        <w:pStyle w:val="SingleTxtG"/>
        <w:tabs>
          <w:tab w:val="left" w:pos="720"/>
        </w:tabs>
        <w:rPr>
          <w:lang w:val="fr-FR"/>
        </w:rPr>
      </w:pPr>
      <w:r w:rsidRPr="00817A34">
        <w:rPr>
          <w:lang w:val="fr-FR"/>
        </w:rPr>
        <w:t>5</w:t>
      </w:r>
      <w:r>
        <w:rPr>
          <w:lang w:val="fr-FR"/>
        </w:rPr>
        <w:t>8</w:t>
      </w:r>
      <w:r w:rsidR="00EC47B1" w:rsidRPr="00817A34">
        <w:rPr>
          <w:lang w:val="fr-FR"/>
        </w:rPr>
        <w:t xml:space="preserve">. </w:t>
      </w:r>
      <w:r w:rsidR="00EC47B1" w:rsidRPr="00817A34">
        <w:rPr>
          <w:lang w:val="fr-FR"/>
        </w:rPr>
        <w:tab/>
        <w:t xml:space="preserve">Le Comité </w:t>
      </w:r>
      <w:r w:rsidR="00C17313" w:rsidRPr="00817A34">
        <w:rPr>
          <w:lang w:val="fr-FR"/>
        </w:rPr>
        <w:t>demeure préoccupé par le fait que l’</w:t>
      </w:r>
      <w:r w:rsidR="006256DB">
        <w:rPr>
          <w:lang w:val="fr-FR"/>
        </w:rPr>
        <w:t>É</w:t>
      </w:r>
      <w:r w:rsidR="00C17313" w:rsidRPr="00817A34">
        <w:rPr>
          <w:lang w:val="fr-FR"/>
        </w:rPr>
        <w:t xml:space="preserve">tat partie ne reconnaisse pas les </w:t>
      </w:r>
      <w:r w:rsidR="00976EF9" w:rsidRPr="00817A34">
        <w:rPr>
          <w:lang w:val="fr-FR"/>
        </w:rPr>
        <w:t xml:space="preserve">groupes minoritaires, ce qui limite l’exercice des droits culturels </w:t>
      </w:r>
      <w:r w:rsidR="008D6DAF" w:rsidRPr="00A331F6">
        <w:rPr>
          <w:lang w:val="fr-FR"/>
        </w:rPr>
        <w:t xml:space="preserve">spécifiques des personnes y appartenant, </w:t>
      </w:r>
      <w:r w:rsidR="00976EF9" w:rsidRPr="00817A34">
        <w:rPr>
          <w:lang w:val="fr-FR"/>
        </w:rPr>
        <w:t xml:space="preserve">notamment </w:t>
      </w:r>
      <w:r w:rsidR="008D6DAF" w:rsidRPr="00A331F6">
        <w:rPr>
          <w:lang w:val="fr-FR"/>
        </w:rPr>
        <w:t>les droits culturels</w:t>
      </w:r>
      <w:r w:rsidR="00EC6A65">
        <w:rPr>
          <w:lang w:val="fr-FR"/>
        </w:rPr>
        <w:t xml:space="preserve"> et linguistiques</w:t>
      </w:r>
      <w:r w:rsidR="008D6DAF" w:rsidRPr="00A331F6">
        <w:rPr>
          <w:lang w:val="fr-FR"/>
        </w:rPr>
        <w:t xml:space="preserve"> </w:t>
      </w:r>
      <w:r w:rsidR="00976EF9" w:rsidRPr="00817A34">
        <w:rPr>
          <w:lang w:val="fr-FR"/>
        </w:rPr>
        <w:t>des minorités ethniques</w:t>
      </w:r>
      <w:r w:rsidR="00EC6A65">
        <w:rPr>
          <w:lang w:val="fr-FR"/>
        </w:rPr>
        <w:t xml:space="preserve"> et des groupes régionaux</w:t>
      </w:r>
      <w:r w:rsidR="00976EF9" w:rsidRPr="00817A34">
        <w:rPr>
          <w:lang w:val="fr-FR"/>
        </w:rPr>
        <w:t xml:space="preserve">, ainsi que </w:t>
      </w:r>
      <w:r w:rsidR="008D6DAF" w:rsidRPr="00A331F6">
        <w:rPr>
          <w:lang w:val="fr-FR"/>
        </w:rPr>
        <w:t xml:space="preserve">ceux </w:t>
      </w:r>
      <w:r w:rsidR="00976EF9" w:rsidRPr="00817A34">
        <w:rPr>
          <w:lang w:val="fr-FR"/>
        </w:rPr>
        <w:t>des peuples autochtones. Le Comité constate avec préoccupation l’absence des mesures pour promouvoir l</w:t>
      </w:r>
      <w:r w:rsidR="004811AB" w:rsidRPr="00817A34">
        <w:rPr>
          <w:lang w:val="fr-FR"/>
        </w:rPr>
        <w:t>a connaissance et l’</w:t>
      </w:r>
      <w:r w:rsidR="00976EF9" w:rsidRPr="00817A34">
        <w:rPr>
          <w:lang w:val="fr-FR"/>
        </w:rPr>
        <w:t xml:space="preserve">usage des langues </w:t>
      </w:r>
      <w:r w:rsidR="004811AB" w:rsidRPr="00817A34">
        <w:rPr>
          <w:lang w:val="fr-FR"/>
        </w:rPr>
        <w:t>régionales</w:t>
      </w:r>
      <w:r w:rsidR="00976EF9" w:rsidRPr="00817A34">
        <w:rPr>
          <w:lang w:val="fr-FR"/>
        </w:rPr>
        <w:t xml:space="preserve"> (art. 15). </w:t>
      </w:r>
    </w:p>
    <w:p w14:paraId="698E72F1" w14:textId="58D8CB12" w:rsidR="00EC47B1" w:rsidRDefault="00A0491A" w:rsidP="004811AB">
      <w:pPr>
        <w:pStyle w:val="SingleTxtG"/>
        <w:tabs>
          <w:tab w:val="left" w:pos="720"/>
        </w:tabs>
        <w:rPr>
          <w:b/>
          <w:bCs/>
          <w:lang w:val="fr-FR"/>
        </w:rPr>
      </w:pPr>
      <w:r w:rsidRPr="00817A34">
        <w:rPr>
          <w:lang w:val="fr-FR"/>
        </w:rPr>
        <w:t>5</w:t>
      </w:r>
      <w:r>
        <w:rPr>
          <w:lang w:val="fr-FR"/>
        </w:rPr>
        <w:t>9</w:t>
      </w:r>
      <w:r w:rsidR="00EC47B1" w:rsidRPr="00817A34">
        <w:rPr>
          <w:lang w:val="fr-FR"/>
        </w:rPr>
        <w:t xml:space="preserve">. </w:t>
      </w:r>
      <w:r w:rsidR="00EC47B1" w:rsidRPr="00817A34">
        <w:rPr>
          <w:lang w:val="fr-FR"/>
        </w:rPr>
        <w:tab/>
      </w:r>
      <w:r w:rsidR="00EC47B1" w:rsidRPr="00817A34">
        <w:rPr>
          <w:b/>
          <w:bCs/>
          <w:lang w:val="fr-FR"/>
        </w:rPr>
        <w:t xml:space="preserve">Le Comité </w:t>
      </w:r>
      <w:r w:rsidR="004811AB" w:rsidRPr="00817A34">
        <w:rPr>
          <w:b/>
          <w:bCs/>
          <w:lang w:val="fr-FR"/>
        </w:rPr>
        <w:t>réitère ses recommandations précédentes</w:t>
      </w:r>
      <w:r w:rsidR="006C0AFD" w:rsidRPr="00817A34">
        <w:rPr>
          <w:rStyle w:val="Appelnotedebasdep"/>
          <w:b/>
          <w:bCs/>
        </w:rPr>
        <w:footnoteReference w:id="14"/>
      </w:r>
      <w:r w:rsidR="004811AB" w:rsidRPr="00817A34">
        <w:rPr>
          <w:b/>
          <w:bCs/>
          <w:lang w:val="fr-FR"/>
        </w:rPr>
        <w:t xml:space="preserve"> et prie l’</w:t>
      </w:r>
      <w:r w:rsidR="006256DB">
        <w:rPr>
          <w:b/>
          <w:bCs/>
          <w:lang w:val="fr-FR"/>
        </w:rPr>
        <w:t>É</w:t>
      </w:r>
      <w:r w:rsidR="004811AB" w:rsidRPr="00817A34">
        <w:rPr>
          <w:b/>
          <w:bCs/>
          <w:lang w:val="fr-FR"/>
        </w:rPr>
        <w:t xml:space="preserve">tat partie </w:t>
      </w:r>
      <w:r w:rsidR="004811AB" w:rsidRPr="00817A34">
        <w:rPr>
          <w:b/>
          <w:bCs/>
        </w:rPr>
        <w:t>d’envisager de revoir sa position à l’égard des minorités et de reconnaître officiellement la nécessité de protéger les droits culturels</w:t>
      </w:r>
      <w:r w:rsidR="00EC6A65">
        <w:rPr>
          <w:b/>
          <w:bCs/>
        </w:rPr>
        <w:t xml:space="preserve"> et linguistiques</w:t>
      </w:r>
      <w:r w:rsidR="004811AB" w:rsidRPr="00817A34">
        <w:rPr>
          <w:b/>
          <w:bCs/>
        </w:rPr>
        <w:t xml:space="preserve"> de tous les groupes minoritaires, y compris des peuples autochtones dans les territoires d’outre-mer. Le Comité recommande également à l’</w:t>
      </w:r>
      <w:r w:rsidR="00EA12BC">
        <w:rPr>
          <w:b/>
          <w:bCs/>
        </w:rPr>
        <w:t>É</w:t>
      </w:r>
      <w:r w:rsidR="004811AB" w:rsidRPr="00817A34">
        <w:rPr>
          <w:b/>
          <w:bCs/>
        </w:rPr>
        <w:t>tat partie de reconnaître et de promouvoir le droit des personnes appartenant à des groupes linguistiques régionaux ou minoritaires, y compris les peuples autochtones de pratiquer leur propre langue, en tant qu’élément de leur droit à participer à la vie culturelle, non seulement dans leur vie privée mais également dans la vie publique, dans les régions où les langues régionales sont traditionnellement parlées</w:t>
      </w:r>
      <w:r w:rsidR="006C0AFD" w:rsidRPr="00817A34">
        <w:rPr>
          <w:b/>
          <w:bCs/>
          <w:lang w:val="fr-FR"/>
        </w:rPr>
        <w:t>.</w:t>
      </w:r>
    </w:p>
    <w:p w14:paraId="2918CC41" w14:textId="697B5DA9" w:rsidR="00CF276A" w:rsidRDefault="00E835D4" w:rsidP="00AB261D">
      <w:pPr>
        <w:pStyle w:val="H23G"/>
        <w:tabs>
          <w:tab w:val="clear" w:pos="720"/>
          <w:tab w:val="clear" w:pos="851"/>
        </w:tabs>
        <w:ind w:left="1134"/>
        <w:rPr>
          <w:b w:val="0"/>
          <w:bCs/>
        </w:rPr>
      </w:pPr>
      <w:bookmarkStart w:id="4" w:name="_Hlk147844972"/>
      <w:r>
        <w:t>Jeux olympiques</w:t>
      </w:r>
      <w:r w:rsidR="00CE2668">
        <w:t xml:space="preserve"> et participation à la vie culturelle</w:t>
      </w:r>
    </w:p>
    <w:p w14:paraId="2989DCC1" w14:textId="6E6C6168" w:rsidR="00CF276A" w:rsidRDefault="00A0491A" w:rsidP="004811AB">
      <w:pPr>
        <w:pStyle w:val="SingleTxtG"/>
        <w:tabs>
          <w:tab w:val="left" w:pos="720"/>
        </w:tabs>
        <w:rPr>
          <w:lang w:val="fr-FR"/>
        </w:rPr>
      </w:pPr>
      <w:r>
        <w:rPr>
          <w:lang w:val="fr-FR"/>
        </w:rPr>
        <w:t>60</w:t>
      </w:r>
      <w:r w:rsidR="00CF276A">
        <w:rPr>
          <w:lang w:val="fr-FR"/>
        </w:rPr>
        <w:t>.</w:t>
      </w:r>
      <w:r w:rsidR="00CF276A">
        <w:rPr>
          <w:lang w:val="fr-FR"/>
        </w:rPr>
        <w:tab/>
        <w:t xml:space="preserve">Le Comité s’inquiète de l’interdiction du port du </w:t>
      </w:r>
      <w:r w:rsidR="00CF276A">
        <w:rPr>
          <w:i/>
          <w:iCs/>
          <w:lang w:val="fr-FR"/>
        </w:rPr>
        <w:t xml:space="preserve">hijab </w:t>
      </w:r>
      <w:r w:rsidR="00CF276A">
        <w:rPr>
          <w:lang w:val="fr-FR"/>
        </w:rPr>
        <w:t>aux athlètes musulmanes françaises lors des prochains Jeux olympiques qui se dérouleront dans l’</w:t>
      </w:r>
      <w:r w:rsidR="00447C64">
        <w:rPr>
          <w:lang w:val="fr-FR"/>
        </w:rPr>
        <w:t>État</w:t>
      </w:r>
      <w:r w:rsidR="00CF276A">
        <w:rPr>
          <w:lang w:val="fr-FR"/>
        </w:rPr>
        <w:t xml:space="preserve"> partie</w:t>
      </w:r>
      <w:r w:rsidR="00486E15">
        <w:rPr>
          <w:lang w:val="fr-FR"/>
        </w:rPr>
        <w:t xml:space="preserve"> en 2024. Cette interdiction constitue </w:t>
      </w:r>
      <w:r w:rsidR="00CF276A">
        <w:rPr>
          <w:lang w:val="fr-FR"/>
        </w:rPr>
        <w:t>une forme de traitement di</w:t>
      </w:r>
      <w:r w:rsidR="00486E15">
        <w:rPr>
          <w:lang w:val="fr-FR"/>
        </w:rPr>
        <w:t xml:space="preserve">fférencié entre </w:t>
      </w:r>
      <w:r w:rsidR="00F96814">
        <w:rPr>
          <w:lang w:val="fr-FR"/>
        </w:rPr>
        <w:t>les athlètes musulmanes étrangères qui ne sont pas soumisses à la même interdiction</w:t>
      </w:r>
      <w:r w:rsidR="00302793">
        <w:rPr>
          <w:lang w:val="fr-FR"/>
        </w:rPr>
        <w:t>,</w:t>
      </w:r>
      <w:r w:rsidR="00F96814">
        <w:rPr>
          <w:lang w:val="fr-FR"/>
        </w:rPr>
        <w:t xml:space="preserve"> et </w:t>
      </w:r>
      <w:r w:rsidR="00486E15">
        <w:rPr>
          <w:lang w:val="fr-FR"/>
        </w:rPr>
        <w:t xml:space="preserve">les athlètes musulmanes nationales </w:t>
      </w:r>
      <w:r w:rsidR="00980772">
        <w:rPr>
          <w:lang w:val="fr-FR"/>
        </w:rPr>
        <w:t xml:space="preserve">et </w:t>
      </w:r>
      <w:r w:rsidR="00FB0985">
        <w:rPr>
          <w:lang w:val="fr-FR"/>
        </w:rPr>
        <w:t xml:space="preserve">pourrait limiter leur droit de participer à la vie culturelle. </w:t>
      </w:r>
      <w:r w:rsidR="00980772">
        <w:rPr>
          <w:lang w:val="fr-FR"/>
        </w:rPr>
        <w:t>Le Comité regrette</w:t>
      </w:r>
      <w:r w:rsidR="00FB0985">
        <w:rPr>
          <w:lang w:val="fr-FR"/>
        </w:rPr>
        <w:t xml:space="preserve"> également</w:t>
      </w:r>
      <w:r w:rsidR="00980772">
        <w:rPr>
          <w:lang w:val="fr-FR"/>
        </w:rPr>
        <w:t xml:space="preserve"> ne pas avoir reçu des informations </w:t>
      </w:r>
      <w:r w:rsidR="00085EB7">
        <w:rPr>
          <w:lang w:val="fr-FR"/>
        </w:rPr>
        <w:t xml:space="preserve">suffisantes </w:t>
      </w:r>
      <w:r w:rsidR="00980772">
        <w:rPr>
          <w:lang w:val="fr-FR"/>
        </w:rPr>
        <w:t xml:space="preserve">concernant le respect du devoir de diligence dans l’organisation des </w:t>
      </w:r>
      <w:r w:rsidR="00FB0985">
        <w:rPr>
          <w:lang w:val="fr-FR"/>
        </w:rPr>
        <w:t>J</w:t>
      </w:r>
      <w:r w:rsidR="00980772">
        <w:rPr>
          <w:lang w:val="fr-FR"/>
        </w:rPr>
        <w:t>eux olympiques afin de limiter l’affectation de la jouissance des droits économiques</w:t>
      </w:r>
      <w:r w:rsidR="00EA12BC">
        <w:rPr>
          <w:lang w:val="fr-FR"/>
        </w:rPr>
        <w:t>,</w:t>
      </w:r>
      <w:r w:rsidR="00980772">
        <w:rPr>
          <w:lang w:val="fr-FR"/>
        </w:rPr>
        <w:t xml:space="preserve"> sociaux et culturels (arts. 2 et 15). </w:t>
      </w:r>
    </w:p>
    <w:p w14:paraId="6C606166" w14:textId="136D2814" w:rsidR="00486E15" w:rsidRDefault="00A0491A" w:rsidP="00486E15">
      <w:pPr>
        <w:pStyle w:val="SingleTxtG"/>
        <w:tabs>
          <w:tab w:val="left" w:pos="720"/>
        </w:tabs>
        <w:rPr>
          <w:b/>
          <w:bCs/>
          <w:lang w:val="fr-FR"/>
        </w:rPr>
      </w:pPr>
      <w:r>
        <w:rPr>
          <w:lang w:val="fr-FR"/>
        </w:rPr>
        <w:t>61</w:t>
      </w:r>
      <w:r w:rsidR="00980772" w:rsidRPr="00AB261D">
        <w:rPr>
          <w:lang w:val="fr-FR"/>
        </w:rPr>
        <w:t xml:space="preserve">. </w:t>
      </w:r>
      <w:r w:rsidR="00AB261D" w:rsidRPr="00AB261D">
        <w:rPr>
          <w:lang w:val="fr-FR"/>
        </w:rPr>
        <w:tab/>
      </w:r>
      <w:r w:rsidR="00980772" w:rsidRPr="00D47782">
        <w:rPr>
          <w:b/>
          <w:bCs/>
          <w:lang w:val="fr-FR"/>
        </w:rPr>
        <w:t xml:space="preserve">Le Comité </w:t>
      </w:r>
      <w:r w:rsidR="00980772">
        <w:rPr>
          <w:b/>
          <w:bCs/>
          <w:lang w:val="fr-FR"/>
        </w:rPr>
        <w:t>rappelle à l’</w:t>
      </w:r>
      <w:r w:rsidR="006938F7">
        <w:rPr>
          <w:b/>
          <w:bCs/>
          <w:lang w:val="fr-FR"/>
        </w:rPr>
        <w:t>État</w:t>
      </w:r>
      <w:r w:rsidR="00980772">
        <w:rPr>
          <w:b/>
          <w:bCs/>
          <w:lang w:val="fr-FR"/>
        </w:rPr>
        <w:t xml:space="preserve"> partie son Observation Générale n° 21 </w:t>
      </w:r>
      <w:r w:rsidR="00FB0985">
        <w:rPr>
          <w:b/>
          <w:bCs/>
          <w:lang w:val="fr-FR"/>
        </w:rPr>
        <w:t xml:space="preserve">(2009) </w:t>
      </w:r>
      <w:r w:rsidR="00980772">
        <w:rPr>
          <w:b/>
          <w:bCs/>
          <w:lang w:val="fr-FR"/>
        </w:rPr>
        <w:t>sur</w:t>
      </w:r>
      <w:r w:rsidR="00486E15">
        <w:rPr>
          <w:b/>
          <w:bCs/>
          <w:lang w:val="fr-FR"/>
        </w:rPr>
        <w:t xml:space="preserve"> le d</w:t>
      </w:r>
      <w:r w:rsidR="00FB0985">
        <w:rPr>
          <w:b/>
          <w:bCs/>
          <w:lang w:val="fr-FR"/>
        </w:rPr>
        <w:t xml:space="preserve">roit </w:t>
      </w:r>
      <w:r w:rsidR="00486E15" w:rsidRPr="00486E15">
        <w:rPr>
          <w:b/>
          <w:bCs/>
        </w:rPr>
        <w:t xml:space="preserve">de chacun de participer à la vie culturelle </w:t>
      </w:r>
      <w:r w:rsidR="00486E15">
        <w:rPr>
          <w:b/>
          <w:bCs/>
        </w:rPr>
        <w:t xml:space="preserve">et </w:t>
      </w:r>
      <w:r w:rsidR="00980772" w:rsidRPr="00D47782">
        <w:rPr>
          <w:b/>
          <w:bCs/>
          <w:lang w:val="fr-FR"/>
        </w:rPr>
        <w:t>recommande à l’État partie :</w:t>
      </w:r>
      <w:r w:rsidR="00486E15">
        <w:rPr>
          <w:b/>
          <w:bCs/>
          <w:lang w:val="fr-FR"/>
        </w:rPr>
        <w:t xml:space="preserve"> </w:t>
      </w:r>
    </w:p>
    <w:p w14:paraId="208A2099" w14:textId="4F5B8E35" w:rsidR="00980772" w:rsidRPr="00D47782" w:rsidRDefault="00980772" w:rsidP="00AB261D">
      <w:pPr>
        <w:pStyle w:val="SingleTxtG"/>
        <w:tabs>
          <w:tab w:val="left" w:pos="720"/>
        </w:tabs>
        <w:ind w:firstLine="567"/>
        <w:rPr>
          <w:b/>
          <w:bCs/>
          <w:lang w:val="fr-FR"/>
        </w:rPr>
      </w:pPr>
      <w:r w:rsidRPr="00D47782">
        <w:rPr>
          <w:b/>
          <w:bCs/>
          <w:lang w:val="fr-FR"/>
        </w:rPr>
        <w:t xml:space="preserve">a) </w:t>
      </w:r>
      <w:r w:rsidR="00AB261D">
        <w:rPr>
          <w:b/>
          <w:bCs/>
          <w:lang w:val="fr-FR"/>
        </w:rPr>
        <w:tab/>
      </w:r>
      <w:r w:rsidRPr="00D47782">
        <w:rPr>
          <w:b/>
          <w:bCs/>
          <w:lang w:val="fr-FR"/>
        </w:rPr>
        <w:t>De</w:t>
      </w:r>
      <w:r w:rsidR="00CB7A58">
        <w:rPr>
          <w:b/>
          <w:bCs/>
          <w:lang w:val="fr-FR"/>
        </w:rPr>
        <w:t xml:space="preserve"> s’assurer que toutes les règles concernant l’organisation des Jeux olympiques, respectent</w:t>
      </w:r>
      <w:r w:rsidR="00B51CD8">
        <w:rPr>
          <w:b/>
          <w:bCs/>
          <w:lang w:val="fr-FR"/>
        </w:rPr>
        <w:t xml:space="preserve"> et</w:t>
      </w:r>
      <w:r w:rsidR="00CB7A58">
        <w:rPr>
          <w:b/>
          <w:bCs/>
          <w:lang w:val="fr-FR"/>
        </w:rPr>
        <w:t xml:space="preserve"> </w:t>
      </w:r>
      <w:r w:rsidR="00B51CD8">
        <w:rPr>
          <w:b/>
          <w:bCs/>
          <w:lang w:val="fr-FR"/>
        </w:rPr>
        <w:t xml:space="preserve">soient en conformité avec </w:t>
      </w:r>
      <w:r w:rsidR="00CB7A58">
        <w:rPr>
          <w:b/>
          <w:bCs/>
          <w:lang w:val="fr-FR"/>
        </w:rPr>
        <w:t>le droit de participer à la vie culturelle y compris le sport comme relev</w:t>
      </w:r>
      <w:r w:rsidR="00D66E9A">
        <w:rPr>
          <w:b/>
          <w:bCs/>
          <w:lang w:val="fr-FR"/>
        </w:rPr>
        <w:t>é</w:t>
      </w:r>
      <w:r w:rsidR="00CB7A58">
        <w:rPr>
          <w:b/>
          <w:bCs/>
          <w:lang w:val="fr-FR"/>
        </w:rPr>
        <w:t xml:space="preserve"> dans l’Observation Générale n° 21</w:t>
      </w:r>
      <w:r w:rsidR="00B51CD8">
        <w:rPr>
          <w:b/>
          <w:bCs/>
          <w:lang w:val="fr-FR"/>
        </w:rPr>
        <w:t xml:space="preserve"> </w:t>
      </w:r>
      <w:r w:rsidRPr="00D47782">
        <w:rPr>
          <w:b/>
          <w:bCs/>
          <w:lang w:val="fr-FR"/>
        </w:rPr>
        <w:t>;</w:t>
      </w:r>
    </w:p>
    <w:p w14:paraId="2BDC15DE" w14:textId="750C4B1B" w:rsidR="00980772" w:rsidRPr="00D47782" w:rsidRDefault="00AB261D" w:rsidP="00AB261D">
      <w:pPr>
        <w:pStyle w:val="SingleTxtG"/>
        <w:tabs>
          <w:tab w:val="left" w:pos="720"/>
        </w:tabs>
        <w:ind w:firstLine="567"/>
        <w:rPr>
          <w:b/>
          <w:bCs/>
          <w:lang w:val="fr-FR"/>
        </w:rPr>
      </w:pPr>
      <w:r>
        <w:rPr>
          <w:b/>
          <w:bCs/>
          <w:lang w:val="fr-FR"/>
        </w:rPr>
        <w:t>b</w:t>
      </w:r>
      <w:r w:rsidR="00980772" w:rsidRPr="00D47782">
        <w:rPr>
          <w:b/>
          <w:bCs/>
          <w:lang w:val="fr-FR"/>
        </w:rPr>
        <w:t xml:space="preserve">) </w:t>
      </w:r>
      <w:r>
        <w:rPr>
          <w:b/>
          <w:bCs/>
          <w:lang w:val="fr-FR"/>
        </w:rPr>
        <w:tab/>
      </w:r>
      <w:r w:rsidR="00290BB5">
        <w:rPr>
          <w:b/>
          <w:bCs/>
          <w:lang w:val="fr-FR"/>
        </w:rPr>
        <w:t>De v</w:t>
      </w:r>
      <w:r w:rsidR="00290BB5" w:rsidRPr="00D47782">
        <w:rPr>
          <w:b/>
          <w:bCs/>
          <w:lang w:val="fr-FR"/>
        </w:rPr>
        <w:t>eiller</w:t>
      </w:r>
      <w:r w:rsidR="00290BB5">
        <w:rPr>
          <w:b/>
          <w:bCs/>
          <w:lang w:val="fr-FR"/>
        </w:rPr>
        <w:t xml:space="preserve">, </w:t>
      </w:r>
      <w:r w:rsidR="003C622A">
        <w:rPr>
          <w:b/>
          <w:bCs/>
          <w:lang w:val="fr-FR"/>
        </w:rPr>
        <w:t xml:space="preserve">dans la mesure de ses capacités </w:t>
      </w:r>
      <w:r w:rsidR="00290BB5">
        <w:rPr>
          <w:b/>
          <w:bCs/>
          <w:lang w:val="fr-FR"/>
        </w:rPr>
        <w:t xml:space="preserve">en tant que pays d’accueil, </w:t>
      </w:r>
      <w:r w:rsidR="00980772" w:rsidRPr="00D47782">
        <w:rPr>
          <w:b/>
          <w:bCs/>
          <w:lang w:val="fr-FR"/>
        </w:rPr>
        <w:t xml:space="preserve">à ce que les athlètes de toutes origines </w:t>
      </w:r>
      <w:r w:rsidR="00FB0985" w:rsidRPr="009656C1">
        <w:rPr>
          <w:b/>
          <w:bCs/>
          <w:lang w:val="fr-FR"/>
        </w:rPr>
        <w:t>raciales</w:t>
      </w:r>
      <w:r w:rsidR="00FB0985">
        <w:rPr>
          <w:b/>
          <w:bCs/>
          <w:lang w:val="fr-FR"/>
        </w:rPr>
        <w:t xml:space="preserve">, ethniques, </w:t>
      </w:r>
      <w:r w:rsidR="00980772" w:rsidRPr="00D47782">
        <w:rPr>
          <w:b/>
          <w:bCs/>
          <w:lang w:val="fr-FR"/>
        </w:rPr>
        <w:t xml:space="preserve">religieuses et, de toute orientation sexuelle et de toute identité de genre puissent participer et concourir aux Jeux </w:t>
      </w:r>
      <w:r w:rsidR="00FB0985">
        <w:rPr>
          <w:b/>
          <w:bCs/>
          <w:lang w:val="fr-FR"/>
        </w:rPr>
        <w:t>o</w:t>
      </w:r>
      <w:r w:rsidR="00980772" w:rsidRPr="00D47782">
        <w:rPr>
          <w:b/>
          <w:bCs/>
          <w:lang w:val="fr-FR"/>
        </w:rPr>
        <w:t xml:space="preserve">lympiques en toute sécurité et sans discrimination ; </w:t>
      </w:r>
    </w:p>
    <w:p w14:paraId="308BD459" w14:textId="637A6CF6" w:rsidR="00980772" w:rsidRPr="00D47782" w:rsidRDefault="00AB261D" w:rsidP="00AB261D">
      <w:pPr>
        <w:pStyle w:val="SingleTxtG"/>
        <w:tabs>
          <w:tab w:val="left" w:pos="720"/>
        </w:tabs>
        <w:ind w:firstLine="567"/>
        <w:rPr>
          <w:b/>
          <w:bCs/>
          <w:lang w:val="fr-FR"/>
        </w:rPr>
      </w:pPr>
      <w:r>
        <w:rPr>
          <w:b/>
          <w:bCs/>
          <w:lang w:val="fr-FR"/>
        </w:rPr>
        <w:t>c</w:t>
      </w:r>
      <w:r w:rsidR="00980772" w:rsidRPr="00D47782">
        <w:rPr>
          <w:b/>
          <w:bCs/>
          <w:lang w:val="fr-FR"/>
        </w:rPr>
        <w:t xml:space="preserve">) </w:t>
      </w:r>
      <w:r>
        <w:rPr>
          <w:b/>
          <w:bCs/>
          <w:lang w:val="fr-FR"/>
        </w:rPr>
        <w:tab/>
      </w:r>
      <w:r w:rsidR="00290BB5">
        <w:rPr>
          <w:b/>
          <w:bCs/>
          <w:lang w:val="fr-FR"/>
        </w:rPr>
        <w:t>D</w:t>
      </w:r>
      <w:r w:rsidR="003C622A">
        <w:rPr>
          <w:b/>
          <w:bCs/>
          <w:lang w:val="fr-FR"/>
        </w:rPr>
        <w:t>’</w:t>
      </w:r>
      <w:r w:rsidR="00290BB5">
        <w:rPr>
          <w:b/>
          <w:bCs/>
          <w:lang w:val="fr-FR"/>
        </w:rPr>
        <w:t xml:space="preserve">assurer </w:t>
      </w:r>
      <w:r w:rsidR="00486E15">
        <w:rPr>
          <w:b/>
          <w:bCs/>
          <w:lang w:val="fr-FR"/>
        </w:rPr>
        <w:t xml:space="preserve">le respect du devoir de </w:t>
      </w:r>
      <w:r w:rsidR="00980772" w:rsidRPr="00D47782">
        <w:rPr>
          <w:b/>
          <w:bCs/>
          <w:lang w:val="fr-FR"/>
        </w:rPr>
        <w:t xml:space="preserve">diligence raisonnable en matière de droits de l’homme </w:t>
      </w:r>
      <w:r w:rsidR="00486E15">
        <w:rPr>
          <w:b/>
          <w:bCs/>
          <w:lang w:val="fr-FR"/>
        </w:rPr>
        <w:t>lors de l’organisation d</w:t>
      </w:r>
      <w:r w:rsidR="00980772" w:rsidRPr="00D47782">
        <w:rPr>
          <w:b/>
          <w:bCs/>
          <w:lang w:val="fr-FR"/>
        </w:rPr>
        <w:t xml:space="preserve">es Jeux </w:t>
      </w:r>
      <w:r w:rsidR="00FB0985">
        <w:rPr>
          <w:b/>
          <w:bCs/>
          <w:lang w:val="fr-FR"/>
        </w:rPr>
        <w:t>o</w:t>
      </w:r>
      <w:r w:rsidR="00980772" w:rsidRPr="00D47782">
        <w:rPr>
          <w:b/>
          <w:bCs/>
          <w:lang w:val="fr-FR"/>
        </w:rPr>
        <w:t xml:space="preserve">lympiques, y compris les règles et règlements </w:t>
      </w:r>
      <w:r w:rsidR="00980772" w:rsidRPr="00D47782">
        <w:rPr>
          <w:b/>
          <w:bCs/>
          <w:lang w:val="fr-FR"/>
        </w:rPr>
        <w:lastRenderedPageBreak/>
        <w:t>de chaque sport, afin d’identifier et d’atténuer les risques pour les droits économiques, sociaux et culturels</w:t>
      </w:r>
      <w:r w:rsidR="00486E15">
        <w:rPr>
          <w:b/>
          <w:bCs/>
          <w:lang w:val="fr-FR"/>
        </w:rPr>
        <w:t xml:space="preserve">. </w:t>
      </w:r>
      <w:r w:rsidR="00980772" w:rsidRPr="00D47782">
        <w:rPr>
          <w:b/>
          <w:bCs/>
          <w:lang w:val="fr-FR"/>
        </w:rPr>
        <w:t xml:space="preserve"> </w:t>
      </w:r>
      <w:bookmarkEnd w:id="4"/>
    </w:p>
    <w:p w14:paraId="24DF7901" w14:textId="67C2F230" w:rsidR="00EC47B1" w:rsidRPr="00817A34" w:rsidRDefault="00EC47B1" w:rsidP="003C1C6D">
      <w:pPr>
        <w:pStyle w:val="H1G"/>
        <w:rPr>
          <w:b w:val="0"/>
          <w:bCs/>
          <w:sz w:val="20"/>
          <w:lang w:val="fr-FR"/>
        </w:rPr>
      </w:pPr>
      <w:r w:rsidRPr="00817A34">
        <w:rPr>
          <w:lang w:val="fr-FR"/>
        </w:rPr>
        <w:tab/>
        <w:t>D.</w:t>
      </w:r>
      <w:r w:rsidRPr="00817A34">
        <w:rPr>
          <w:lang w:val="fr-FR"/>
        </w:rPr>
        <w:tab/>
        <w:t>Autres recommandations</w:t>
      </w:r>
      <w:r w:rsidRPr="00817A34">
        <w:rPr>
          <w:b w:val="0"/>
          <w:bCs/>
          <w:lang w:val="fr-FR"/>
        </w:rPr>
        <w:t xml:space="preserve"> </w:t>
      </w:r>
    </w:p>
    <w:p w14:paraId="2C31E47F" w14:textId="64A14432" w:rsidR="00EC47B1" w:rsidRPr="00817A34" w:rsidRDefault="00A0491A" w:rsidP="00EC47B1">
      <w:pPr>
        <w:pStyle w:val="SingleTxtG"/>
        <w:rPr>
          <w:b/>
          <w:bCs/>
          <w:lang w:val="fr-FR"/>
        </w:rPr>
      </w:pPr>
      <w:r>
        <w:rPr>
          <w:bCs/>
          <w:lang w:val="fr-FR"/>
        </w:rPr>
        <w:t>62</w:t>
      </w:r>
      <w:r w:rsidR="00EC47B1" w:rsidRPr="00817A34">
        <w:rPr>
          <w:bCs/>
          <w:lang w:val="fr-FR"/>
        </w:rPr>
        <w:t>.</w:t>
      </w:r>
      <w:r w:rsidR="00EC47B1" w:rsidRPr="00817A34">
        <w:rPr>
          <w:lang w:val="fr-FR"/>
        </w:rPr>
        <w:tab/>
      </w:r>
      <w:r w:rsidR="00EC47B1" w:rsidRPr="00817A34">
        <w:rPr>
          <w:b/>
          <w:bCs/>
          <w:lang w:val="fr-FR"/>
        </w:rPr>
        <w:t>Le Comité recommande à l’État partie d’envisager d</w:t>
      </w:r>
      <w:r w:rsidR="004C6F85" w:rsidRPr="00817A34">
        <w:rPr>
          <w:b/>
          <w:bCs/>
          <w:lang w:val="fr-FR"/>
        </w:rPr>
        <w:t>’</w:t>
      </w:r>
      <w:r w:rsidR="00EC47B1" w:rsidRPr="00817A34">
        <w:rPr>
          <w:b/>
          <w:bCs/>
          <w:lang w:val="fr-FR"/>
        </w:rPr>
        <w:t xml:space="preserve">accéder </w:t>
      </w:r>
      <w:r w:rsidR="00C50B59" w:rsidRPr="00817A34">
        <w:rPr>
          <w:b/>
          <w:bCs/>
          <w:lang w:val="fr-FR"/>
        </w:rPr>
        <w:t>a</w:t>
      </w:r>
      <w:r w:rsidR="00EC47B1" w:rsidRPr="00817A34">
        <w:rPr>
          <w:b/>
          <w:bCs/>
          <w:lang w:val="fr-FR"/>
        </w:rPr>
        <w:t>u</w:t>
      </w:r>
      <w:r w:rsidR="00C50B59" w:rsidRPr="00817A34">
        <w:rPr>
          <w:b/>
          <w:bCs/>
          <w:lang w:val="fr-FR"/>
        </w:rPr>
        <w:t>x</w:t>
      </w:r>
      <w:r w:rsidR="00EC47B1" w:rsidRPr="00817A34">
        <w:rPr>
          <w:b/>
          <w:bCs/>
          <w:lang w:val="fr-FR"/>
        </w:rPr>
        <w:t xml:space="preserve"> principaux instruments relatifs aux droits de l'homme auxquels il n'est pas encore </w:t>
      </w:r>
      <w:proofErr w:type="gramStart"/>
      <w:r w:rsidR="00EC47B1" w:rsidRPr="00817A34">
        <w:rPr>
          <w:b/>
          <w:bCs/>
          <w:lang w:val="fr-FR"/>
        </w:rPr>
        <w:t>partie</w:t>
      </w:r>
      <w:proofErr w:type="gramEnd"/>
      <w:r w:rsidR="00EC47B1" w:rsidRPr="00817A34">
        <w:rPr>
          <w:b/>
          <w:bCs/>
          <w:lang w:val="fr-FR"/>
        </w:rPr>
        <w:t>, à savoir la Convention internationale sur la protection des droits de tous les travailleurs migrants et des membres de leur famille</w:t>
      </w:r>
      <w:r w:rsidR="00C50B59" w:rsidRPr="00817A34">
        <w:rPr>
          <w:b/>
          <w:bCs/>
          <w:lang w:val="fr-FR"/>
        </w:rPr>
        <w:t>.</w:t>
      </w:r>
    </w:p>
    <w:p w14:paraId="11179A68" w14:textId="19C22508" w:rsidR="00EC47B1" w:rsidRPr="00817A34" w:rsidRDefault="00A0491A" w:rsidP="00EC47B1">
      <w:pPr>
        <w:pStyle w:val="SingleTxtG"/>
        <w:rPr>
          <w:b/>
          <w:bCs/>
          <w:lang w:val="fr-FR"/>
        </w:rPr>
      </w:pPr>
      <w:r>
        <w:rPr>
          <w:bCs/>
          <w:lang w:val="fr-FR"/>
        </w:rPr>
        <w:t>63</w:t>
      </w:r>
      <w:r w:rsidR="00EC47B1" w:rsidRPr="00817A34">
        <w:rPr>
          <w:bCs/>
          <w:lang w:val="fr-FR"/>
        </w:rPr>
        <w:t>.</w:t>
      </w:r>
      <w:r w:rsidR="00EC47B1" w:rsidRPr="00817A34">
        <w:rPr>
          <w:b/>
          <w:bCs/>
          <w:lang w:val="fr-FR"/>
        </w:rPr>
        <w:tab/>
        <w:t>Le Comité recommande à l’État partie de tenir pleinement compte des obligations que lui impose le Pacte et de garantir le plein exercice des droits qui y sont consacrés, tant dans la mise en œuvre au niveau national du Programme de développement durable à l’horizon 2030 que dans les mesures prises pour assurer le relèvement du pays après la pandémie de COVID-19. La réalisation des objectifs de développement durable serait grandement facilitée si l’État partie établissait des mécanismes indépendants pour suivre les progrès réalisés et s’il envisageait les bénéficiaires des programmes publics comme des titulaires de droits qui peuvent faire valoir leur droit à des prestations. Le Comité recommande à l’État partie de soutenir les engagements pris au niveau mondial dans le contexte de la décennie d’action en faveur des objectifs de développement durable. S’attacher à atteindre les objectifs dans le respect des principes de participation, de responsabilité et de non-discrimination permettrait de garantir que nul n’est laissé de côté. À cet égard, le Comité appelle l’attention de l’État partie sur sa déclaration relative à l’engagement de ne laisser personne de côté</w:t>
      </w:r>
      <w:r w:rsidR="004A6168">
        <w:rPr>
          <w:b/>
          <w:bCs/>
          <w:lang w:val="fr-FR"/>
        </w:rPr>
        <w:t>.</w:t>
      </w:r>
      <w:r w:rsidR="00EC47B1" w:rsidRPr="00817A34">
        <w:rPr>
          <w:rStyle w:val="Appelnotedebasdep"/>
        </w:rPr>
        <w:footnoteReference w:id="15"/>
      </w:r>
    </w:p>
    <w:p w14:paraId="6519C866" w14:textId="2BA9DE24" w:rsidR="00EC47B1" w:rsidRPr="00817A34" w:rsidRDefault="00A0491A" w:rsidP="00EC47B1">
      <w:pPr>
        <w:pStyle w:val="SingleTxtG"/>
        <w:rPr>
          <w:b/>
          <w:bCs/>
          <w:lang w:val="fr-FR"/>
        </w:rPr>
      </w:pPr>
      <w:r w:rsidRPr="00817A34">
        <w:rPr>
          <w:bCs/>
          <w:lang w:val="fr-FR"/>
        </w:rPr>
        <w:t>6</w:t>
      </w:r>
      <w:r>
        <w:rPr>
          <w:bCs/>
          <w:lang w:val="fr-FR"/>
        </w:rPr>
        <w:t>4</w:t>
      </w:r>
      <w:r w:rsidR="00EC47B1" w:rsidRPr="00817A34">
        <w:rPr>
          <w:lang w:val="fr-FR"/>
        </w:rPr>
        <w:t>.</w:t>
      </w:r>
      <w:r w:rsidR="00EC47B1" w:rsidRPr="00817A34">
        <w:rPr>
          <w:b/>
          <w:bCs/>
          <w:lang w:val="fr-FR"/>
        </w:rPr>
        <w:tab/>
        <w:t xml:space="preserve">Le Comité prie l’État partie de diffuser largement les présentes observations finales à tous les niveaux de la société, y compris aux </w:t>
      </w:r>
      <w:r w:rsidR="00EC47B1" w:rsidRPr="00817A34">
        <w:rPr>
          <w:b/>
          <w:lang w:val="fr-FR"/>
        </w:rPr>
        <w:t xml:space="preserve">niveaux national, régional et </w:t>
      </w:r>
      <w:r w:rsidR="00C50B59" w:rsidRPr="00817A34">
        <w:rPr>
          <w:b/>
          <w:lang w:val="fr-FR"/>
        </w:rPr>
        <w:t>départemental, ainsi que dans les départements et régions d’outre-mer, et les collectivités d’outre-mer</w:t>
      </w:r>
      <w:r w:rsidR="00EC47B1" w:rsidRPr="00817A34">
        <w:rPr>
          <w:b/>
          <w:lang w:val="fr-FR"/>
        </w:rPr>
        <w:t>,</w:t>
      </w:r>
      <w:r w:rsidR="00EC47B1" w:rsidRPr="00817A34">
        <w:rPr>
          <w:b/>
          <w:bCs/>
          <w:lang w:val="fr-FR"/>
        </w:rPr>
        <w:t xml:space="preserve"> en particulier auprès des parlementaires, des agents de l’État et des autorités judiciaires, et de l’informer dans son prochain rapport périodique des dispositions qu’il aura prises pour y donner suite. </w:t>
      </w:r>
      <w:r w:rsidR="00AF7578">
        <w:rPr>
          <w:b/>
          <w:bCs/>
          <w:lang w:val="fr-FR"/>
        </w:rPr>
        <w:t xml:space="preserve"> Il souligne le rôle crucial que joue le Parlement dans l’application des présentes observations finales et engage l’Etat partie à faire en sorte qu’il prenne part aux prochaines activités d’étab</w:t>
      </w:r>
      <w:r w:rsidR="00320BD3">
        <w:rPr>
          <w:b/>
          <w:bCs/>
          <w:lang w:val="fr-FR"/>
        </w:rPr>
        <w:t xml:space="preserve">lissement de rapports et de suivi. </w:t>
      </w:r>
      <w:r w:rsidR="00EC47B1" w:rsidRPr="00817A34">
        <w:rPr>
          <w:b/>
          <w:bCs/>
          <w:lang w:val="fr-FR"/>
        </w:rPr>
        <w:t>Il encourage également l’</w:t>
      </w:r>
      <w:r w:rsidR="00EA12BC">
        <w:rPr>
          <w:b/>
          <w:bCs/>
          <w:lang w:val="fr-FR"/>
        </w:rPr>
        <w:t>É</w:t>
      </w:r>
      <w:r w:rsidR="00EC47B1" w:rsidRPr="00817A34">
        <w:rPr>
          <w:b/>
          <w:bCs/>
          <w:lang w:val="fr-FR"/>
        </w:rPr>
        <w:t>tat partie à associer l</w:t>
      </w:r>
      <w:r w:rsidR="00C50B59" w:rsidRPr="00817A34">
        <w:rPr>
          <w:b/>
          <w:bCs/>
          <w:lang w:val="fr-FR"/>
        </w:rPr>
        <w:t xml:space="preserve">a Commission </w:t>
      </w:r>
      <w:r w:rsidR="00B213CE" w:rsidRPr="00817A34">
        <w:rPr>
          <w:b/>
          <w:bCs/>
          <w:lang w:val="fr-FR"/>
        </w:rPr>
        <w:t>n</w:t>
      </w:r>
      <w:r w:rsidR="00C50B59" w:rsidRPr="00817A34">
        <w:rPr>
          <w:b/>
          <w:bCs/>
          <w:lang w:val="fr-FR"/>
        </w:rPr>
        <w:t xml:space="preserve">ationale </w:t>
      </w:r>
      <w:r w:rsidR="00B213CE" w:rsidRPr="00817A34">
        <w:rPr>
          <w:b/>
          <w:bCs/>
          <w:lang w:val="fr-FR"/>
        </w:rPr>
        <w:t>consultative</w:t>
      </w:r>
      <w:r w:rsidR="00C50B59" w:rsidRPr="00817A34">
        <w:rPr>
          <w:b/>
          <w:bCs/>
          <w:lang w:val="fr-FR"/>
        </w:rPr>
        <w:t xml:space="preserve"> des droits de l’homme</w:t>
      </w:r>
      <w:r w:rsidR="00EC47B1" w:rsidRPr="00817A34">
        <w:rPr>
          <w:b/>
          <w:bCs/>
          <w:lang w:val="fr-FR"/>
        </w:rPr>
        <w:t>, les organisations non gouvernementales et d’autres membres de la société civile au suivi des présentes observations finales et au processus de consultation nationale avant la soumission de son prochain rapport périodique.</w:t>
      </w:r>
    </w:p>
    <w:p w14:paraId="2929CEDE" w14:textId="15EB18AF" w:rsidR="00EC47B1" w:rsidRPr="00817A34" w:rsidRDefault="00A0491A" w:rsidP="00EC47B1">
      <w:pPr>
        <w:pStyle w:val="SingleTxtG"/>
        <w:rPr>
          <w:b/>
          <w:bCs/>
          <w:lang w:val="fr-FR"/>
        </w:rPr>
      </w:pPr>
      <w:r w:rsidRPr="00817A34">
        <w:rPr>
          <w:bCs/>
          <w:lang w:val="fr-FR"/>
        </w:rPr>
        <w:t>6</w:t>
      </w:r>
      <w:r>
        <w:rPr>
          <w:bCs/>
          <w:lang w:val="fr-FR"/>
        </w:rPr>
        <w:t>5</w:t>
      </w:r>
      <w:r w:rsidR="00EC47B1" w:rsidRPr="00817A34">
        <w:rPr>
          <w:lang w:val="fr-FR"/>
        </w:rPr>
        <w:t>.</w:t>
      </w:r>
      <w:r w:rsidR="00EC47B1" w:rsidRPr="00817A34">
        <w:rPr>
          <w:lang w:val="fr-FR"/>
        </w:rPr>
        <w:tab/>
      </w:r>
      <w:r w:rsidR="00EC47B1" w:rsidRPr="00817A34">
        <w:rPr>
          <w:b/>
          <w:bCs/>
          <w:lang w:val="fr-FR"/>
        </w:rPr>
        <w:t>Conformément à la procédure de suivi des observations finales adoptées par le Comité, l’État partie est prié de fournir, dans un délai de vingt-quatre mois à compter de l’adoption des présentes observations finales</w:t>
      </w:r>
      <w:r w:rsidR="001D19BB" w:rsidRPr="00817A34">
        <w:rPr>
          <w:b/>
          <w:bCs/>
          <w:lang w:val="fr-FR"/>
        </w:rPr>
        <w:t xml:space="preserve"> </w:t>
      </w:r>
      <w:r w:rsidR="001D19BB" w:rsidRPr="00A0491A">
        <w:rPr>
          <w:b/>
          <w:bCs/>
          <w:lang w:val="fr-FR"/>
        </w:rPr>
        <w:t>(31 octobre 2025)</w:t>
      </w:r>
      <w:r w:rsidR="00EC47B1" w:rsidRPr="00A0491A">
        <w:rPr>
          <w:b/>
          <w:bCs/>
          <w:lang w:val="fr-FR"/>
        </w:rPr>
        <w:t>, des renseignements sur la suite donnée aux recommandations formulées par le Comité aux paragraphes </w:t>
      </w:r>
      <w:r w:rsidRPr="00A0491A">
        <w:rPr>
          <w:b/>
          <w:bCs/>
          <w:lang w:val="fr-FR"/>
        </w:rPr>
        <w:t xml:space="preserve">31 c) (Sécurité sociale) ; 47 f) (Droit à l’eau) ; 49 b) (Droit à la santé physique et mentale) </w:t>
      </w:r>
      <w:r w:rsidR="00EC47B1" w:rsidRPr="00A0491A">
        <w:rPr>
          <w:b/>
          <w:bCs/>
          <w:lang w:val="fr-FR"/>
        </w:rPr>
        <w:t>ci-dessus.</w:t>
      </w:r>
      <w:r w:rsidR="00EC47B1" w:rsidRPr="00817A34">
        <w:rPr>
          <w:b/>
          <w:bCs/>
          <w:lang w:val="fr-FR"/>
        </w:rPr>
        <w:t xml:space="preserve"> </w:t>
      </w:r>
    </w:p>
    <w:p w14:paraId="43F1DE02" w14:textId="6FC1F9AD" w:rsidR="00EC47B1" w:rsidRPr="00C50B59" w:rsidRDefault="00A0491A" w:rsidP="00EC47B1">
      <w:pPr>
        <w:pStyle w:val="SingleTxtG"/>
      </w:pPr>
      <w:r w:rsidRPr="00817A34">
        <w:rPr>
          <w:bCs/>
          <w:lang w:val="fr-FR"/>
        </w:rPr>
        <w:t>6</w:t>
      </w:r>
      <w:r>
        <w:rPr>
          <w:bCs/>
          <w:lang w:val="fr-FR"/>
        </w:rPr>
        <w:t>6</w:t>
      </w:r>
      <w:r w:rsidR="00EC47B1" w:rsidRPr="00817A34">
        <w:rPr>
          <w:lang w:val="fr-FR"/>
        </w:rPr>
        <w:t>.</w:t>
      </w:r>
      <w:r w:rsidR="00EC47B1" w:rsidRPr="00817A34">
        <w:rPr>
          <w:lang w:val="fr-FR"/>
        </w:rPr>
        <w:tab/>
      </w:r>
      <w:r w:rsidR="00EC47B1" w:rsidRPr="00817A34">
        <w:rPr>
          <w:b/>
          <w:bCs/>
          <w:lang w:val="fr-FR"/>
        </w:rPr>
        <w:t xml:space="preserve">Le Comité prie l’État partie de lui soumettre son </w:t>
      </w:r>
      <w:r w:rsidR="001D19BB" w:rsidRPr="00A331F6">
        <w:rPr>
          <w:b/>
          <w:bCs/>
          <w:lang w:val="fr-FR"/>
        </w:rPr>
        <w:t>sixième</w:t>
      </w:r>
      <w:r w:rsidR="00EC47B1" w:rsidRPr="00817A34">
        <w:rPr>
          <w:b/>
          <w:bCs/>
          <w:lang w:val="fr-FR"/>
        </w:rPr>
        <w:t xml:space="preserve"> rapport périodique au titre de l’article 16 du Pacte d’ici au </w:t>
      </w:r>
      <w:r w:rsidR="001D19BB" w:rsidRPr="00C5568F">
        <w:rPr>
          <w:b/>
          <w:bCs/>
          <w:lang w:val="fr-FR"/>
        </w:rPr>
        <w:t xml:space="preserve">31 </w:t>
      </w:r>
      <w:r w:rsidR="00EA12BC" w:rsidRPr="00C5568F">
        <w:rPr>
          <w:b/>
          <w:bCs/>
          <w:lang w:val="fr-FR"/>
        </w:rPr>
        <w:t>o</w:t>
      </w:r>
      <w:r w:rsidR="001D19BB" w:rsidRPr="00C5568F">
        <w:rPr>
          <w:b/>
          <w:bCs/>
          <w:lang w:val="fr-FR"/>
        </w:rPr>
        <w:t>ctobre 2028</w:t>
      </w:r>
      <w:r w:rsidR="00EC47B1" w:rsidRPr="00C5568F">
        <w:rPr>
          <w:b/>
          <w:bCs/>
          <w:lang w:val="fr-FR"/>
        </w:rPr>
        <w:t>, sauf notification contraire résultant d’une modification du cycle d’examen. Conformément à la résolution 68/268 de l’Assemblée générale, le rapport ne devra pas dépasser 21 200 mots.</w:t>
      </w:r>
    </w:p>
    <w:p w14:paraId="472136E5" w14:textId="544C0B7A" w:rsidR="009D4964" w:rsidRPr="00C50B59" w:rsidRDefault="00EC47B1" w:rsidP="00AB261D">
      <w:pPr>
        <w:pStyle w:val="SingleTxtG"/>
        <w:spacing w:before="240" w:after="0"/>
        <w:jc w:val="center"/>
        <w:rPr>
          <w:lang w:val="fr-FR"/>
        </w:rPr>
      </w:pPr>
      <w:r w:rsidRPr="00C50B59">
        <w:rPr>
          <w:u w:val="single"/>
          <w:lang w:val="fr-FR"/>
        </w:rPr>
        <w:tab/>
      </w:r>
      <w:r w:rsidRPr="00C50B59">
        <w:rPr>
          <w:u w:val="single"/>
          <w:lang w:val="fr-FR"/>
        </w:rPr>
        <w:tab/>
      </w:r>
      <w:r w:rsidRPr="00C50B59">
        <w:rPr>
          <w:u w:val="single"/>
          <w:lang w:val="fr-FR"/>
        </w:rPr>
        <w:tab/>
      </w:r>
    </w:p>
    <w:sectPr w:rsidR="009D4964" w:rsidRPr="00C50B59" w:rsidSect="00AB261D">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993"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72FB9" w14:textId="77777777" w:rsidR="00194F87" w:rsidRDefault="00194F87">
      <w:pPr>
        <w:spacing w:line="240" w:lineRule="auto"/>
      </w:pPr>
    </w:p>
  </w:endnote>
  <w:endnote w:type="continuationSeparator" w:id="0">
    <w:p w14:paraId="000A3BB3" w14:textId="77777777" w:rsidR="00194F87" w:rsidRDefault="00194F87">
      <w:pPr>
        <w:pStyle w:val="Pieddepage"/>
      </w:pPr>
    </w:p>
  </w:endnote>
  <w:endnote w:type="continuationNotice" w:id="1">
    <w:p w14:paraId="71E2DCEE" w14:textId="77777777" w:rsidR="00194F87" w:rsidRDefault="00194F8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EA38D" w14:textId="77777777" w:rsidR="005043D0" w:rsidRDefault="00B439AE">
    <w:pPr>
      <w:pStyle w:val="Pieddepage"/>
      <w:tabs>
        <w:tab w:val="right" w:pos="9639"/>
      </w:tabs>
    </w:pPr>
    <w:r>
      <w:rPr>
        <w:b/>
        <w:sz w:val="18"/>
      </w:rPr>
      <w:fldChar w:fldCharType="begin"/>
    </w:r>
    <w:r>
      <w:rPr>
        <w:b/>
        <w:sz w:val="18"/>
      </w:rPr>
      <w:instrText xml:space="preserve"> PAGE  \* MERGEFORMAT </w:instrText>
    </w:r>
    <w:r>
      <w:rPr>
        <w:b/>
        <w:sz w:val="18"/>
      </w:rPr>
      <w:fldChar w:fldCharType="separate"/>
    </w:r>
    <w:r>
      <w:rPr>
        <w:b/>
        <w:noProof/>
        <w:sz w:val="18"/>
      </w:rPr>
      <w:t>2</w:t>
    </w:r>
    <w:r>
      <w:rPr>
        <w:b/>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0EE95" w14:textId="77777777" w:rsidR="005043D0" w:rsidRDefault="00553C2F">
    <w:pPr>
      <w:pStyle w:val="Pieddepage"/>
      <w:tabs>
        <w:tab w:val="right" w:pos="9639"/>
      </w:tabs>
      <w:rPr>
        <w:sz w:val="20"/>
      </w:rPr>
    </w:pPr>
    <w:r>
      <w:tab/>
    </w:r>
    <w:r>
      <w:rPr>
        <w:b/>
        <w:sz w:val="18"/>
      </w:rPr>
      <w:fldChar w:fldCharType="begin"/>
    </w:r>
    <w:r>
      <w:rPr>
        <w:b/>
        <w:sz w:val="18"/>
      </w:rPr>
      <w:instrText xml:space="preserve"> PAGE  \* MERGEFORMAT </w:instrText>
    </w:r>
    <w:r>
      <w:rPr>
        <w:b/>
        <w:sz w:val="18"/>
      </w:rPr>
      <w:fldChar w:fldCharType="separate"/>
    </w:r>
    <w:r>
      <w:rPr>
        <w:b/>
        <w:noProof/>
        <w:sz w:val="18"/>
      </w:rPr>
      <w:t>3</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88808" w14:textId="77777777" w:rsidR="005043D0" w:rsidRDefault="00B439AE">
    <w:pPr>
      <w:pStyle w:val="Pieddepage"/>
      <w:spacing w:before="120"/>
      <w:rPr>
        <w:noProof/>
        <w:sz w:val="20"/>
        <w:lang w:eastAsia="fr-FR"/>
      </w:rPr>
    </w:pPr>
    <w:r>
      <w:rPr>
        <w:noProof/>
        <w:lang w:eastAsia="fr-CH"/>
      </w:rPr>
      <w:drawing>
        <wp:anchor distT="0" distB="0" distL="114300" distR="114300" simplePos="0" relativeHeight="251658240" behindDoc="0" locked="1" layoutInCell="1" allowOverlap="1" wp14:anchorId="23162025" wp14:editId="22DBEA75">
          <wp:simplePos x="0" y="0"/>
          <wp:positionH relativeFrom="column">
            <wp:posOffset>5868670</wp:posOffset>
          </wp:positionH>
          <wp:positionV relativeFrom="paragraph">
            <wp:posOffset>9387840</wp:posOffset>
          </wp:positionV>
          <wp:extent cx="930275" cy="230505"/>
          <wp:effectExtent l="0" t="0" r="3175" b="0"/>
          <wp:wrapNone/>
          <wp:docPr id="1840572885" name="Picture 184057288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r>
      <w:rPr>
        <w:noProof/>
        <w:sz w:val="20"/>
        <w:lang w:eastAsia="fr-FR"/>
      </w:rPr>
      <w:t xml:space="preserve"> </w:t>
    </w:r>
  </w:p>
  <w:tbl>
    <w:tblPr>
      <w:tblStyle w:val="Grilledutableau"/>
      <w:tblpPr w:leftFromText="181" w:rightFromText="181" w:horzAnchor="page" w:tblpX="7656" w:tblpY="140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274"/>
    </w:tblGrid>
    <w:tr w:rsidR="00C16C99" w14:paraId="3D156EF6" w14:textId="77777777">
      <w:tc>
        <w:tcPr>
          <w:tcW w:w="1848" w:type="dxa"/>
          <w:vAlign w:val="bottom"/>
        </w:tcPr>
        <w:p w14:paraId="5527A107" w14:textId="77777777" w:rsidR="005043D0" w:rsidRDefault="00B439AE">
          <w:pPr>
            <w:spacing w:before="120" w:after="120" w:line="240" w:lineRule="auto"/>
            <w:jc w:val="right"/>
            <w:rPr>
              <w:sz w:val="16"/>
            </w:rPr>
          </w:pPr>
          <w:r>
            <w:rPr>
              <w:noProof/>
              <w:lang w:eastAsia="fr-CH"/>
            </w:rPr>
            <w:drawing>
              <wp:inline distT="0" distB="0" distL="0" distR="0" wp14:anchorId="69BE5B20" wp14:editId="46BAC58C">
                <wp:extent cx="1104265" cy="233045"/>
                <wp:effectExtent l="0" t="0" r="635" b="0"/>
                <wp:docPr id="510396085" name="Picture 510396085"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recycle_French"/>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104265" cy="233045"/>
                        </a:xfrm>
                        <a:prstGeom prst="rect">
                          <a:avLst/>
                        </a:prstGeom>
                        <a:noFill/>
                        <a:ln>
                          <a:noFill/>
                        </a:ln>
                      </pic:spPr>
                    </pic:pic>
                  </a:graphicData>
                </a:graphic>
              </wp:inline>
            </w:drawing>
          </w:r>
        </w:p>
      </w:tc>
      <w:tc>
        <w:tcPr>
          <w:tcW w:w="1274" w:type="dxa"/>
        </w:tcPr>
        <w:p w14:paraId="6C5968C6" w14:textId="77777777" w:rsidR="005043D0" w:rsidRDefault="005043D0">
          <w:pPr>
            <w:spacing w:line="240" w:lineRule="auto"/>
            <w:jc w:val="right"/>
            <w:rPr>
              <w:sz w:val="16"/>
            </w:rPr>
          </w:pPr>
        </w:p>
      </w:tc>
    </w:tr>
  </w:tbl>
  <w:p w14:paraId="7A4EB718" w14:textId="77777777" w:rsidR="005043D0" w:rsidRDefault="005043D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E8359" w14:textId="77777777" w:rsidR="00194F87" w:rsidRDefault="00194F87">
      <w:pPr>
        <w:pStyle w:val="Pieddepage"/>
        <w:tabs>
          <w:tab w:val="right" w:pos="2155"/>
        </w:tabs>
        <w:spacing w:after="80" w:line="240" w:lineRule="atLeast"/>
        <w:ind w:left="680"/>
        <w:rPr>
          <w:u w:val="single"/>
        </w:rPr>
      </w:pPr>
      <w:r>
        <w:rPr>
          <w:u w:val="single"/>
        </w:rPr>
        <w:tab/>
      </w:r>
    </w:p>
  </w:footnote>
  <w:footnote w:type="continuationSeparator" w:id="0">
    <w:p w14:paraId="2B27AD4D" w14:textId="77777777" w:rsidR="00194F87" w:rsidRDefault="00194F87">
      <w:pPr>
        <w:pStyle w:val="Pieddepage"/>
        <w:tabs>
          <w:tab w:val="right" w:pos="2155"/>
        </w:tabs>
        <w:spacing w:after="80" w:line="240" w:lineRule="atLeast"/>
        <w:ind w:left="680"/>
        <w:rPr>
          <w:u w:val="single"/>
        </w:rPr>
      </w:pPr>
      <w:r>
        <w:rPr>
          <w:u w:val="single"/>
        </w:rPr>
        <w:tab/>
      </w:r>
    </w:p>
  </w:footnote>
  <w:footnote w:type="continuationNotice" w:id="1">
    <w:p w14:paraId="51D346A6" w14:textId="77777777" w:rsidR="00194F87" w:rsidRDefault="00194F87">
      <w:pPr>
        <w:spacing w:line="240" w:lineRule="auto"/>
        <w:rPr>
          <w:sz w:val="2"/>
          <w:szCs w:val="2"/>
        </w:rPr>
      </w:pPr>
    </w:p>
  </w:footnote>
  <w:footnote w:id="2">
    <w:p w14:paraId="3C1000B1" w14:textId="77777777" w:rsidR="003623C2" w:rsidRPr="000D0402" w:rsidRDefault="003623C2" w:rsidP="003623C2">
      <w:pPr>
        <w:pStyle w:val="Notedebasdepage"/>
        <w:rPr>
          <w:lang w:val="fr-FR"/>
        </w:rPr>
      </w:pPr>
      <w:r>
        <w:rPr>
          <w:lang w:val="fr-FR"/>
        </w:rPr>
        <w:tab/>
        <w:t>*</w:t>
      </w:r>
      <w:r>
        <w:rPr>
          <w:lang w:val="fr-FR"/>
        </w:rPr>
        <w:tab/>
        <w:t>Adoptées par le Comité à sa soixante-quatorzième session (25 septembre-13 octobre 2023).</w:t>
      </w:r>
    </w:p>
  </w:footnote>
  <w:footnote w:id="3">
    <w:p w14:paraId="3281AD36" w14:textId="3E1A077E" w:rsidR="00EC47B1" w:rsidRPr="0089295D" w:rsidRDefault="00EC47B1" w:rsidP="00EC47B1">
      <w:pPr>
        <w:pStyle w:val="Notedebasdepage"/>
        <w:rPr>
          <w:szCs w:val="18"/>
          <w:lang w:val="es-419"/>
        </w:rPr>
      </w:pPr>
      <w:r>
        <w:rPr>
          <w:sz w:val="16"/>
          <w:szCs w:val="16"/>
          <w:lang w:val="fr-FR"/>
        </w:rPr>
        <w:tab/>
      </w:r>
      <w:r>
        <w:rPr>
          <w:rStyle w:val="Appelnotedebasdep"/>
        </w:rPr>
        <w:footnoteRef/>
      </w:r>
      <w:r w:rsidRPr="0089295D">
        <w:rPr>
          <w:lang w:val="es-419"/>
        </w:rPr>
        <w:t xml:space="preserve"> </w:t>
      </w:r>
      <w:r w:rsidRPr="0089295D">
        <w:rPr>
          <w:lang w:val="es-419"/>
        </w:rPr>
        <w:tab/>
      </w:r>
      <w:hyperlink r:id="rId1" w:history="1">
        <w:r w:rsidRPr="004A68B0">
          <w:rPr>
            <w:rStyle w:val="Lienhypertexte"/>
            <w:lang w:val="pt-PT"/>
          </w:rPr>
          <w:t>E/C.12/</w:t>
        </w:r>
        <w:r w:rsidR="004A68B0" w:rsidRPr="004A68B0">
          <w:rPr>
            <w:rStyle w:val="Lienhypertexte"/>
            <w:lang w:val="pt-PT"/>
          </w:rPr>
          <w:t>FRA</w:t>
        </w:r>
        <w:r w:rsidRPr="004A68B0">
          <w:rPr>
            <w:rStyle w:val="Lienhypertexte"/>
            <w:lang w:val="pt-PT"/>
          </w:rPr>
          <w:t>/</w:t>
        </w:r>
        <w:r w:rsidR="004A68B0" w:rsidRPr="004A68B0">
          <w:rPr>
            <w:rStyle w:val="Lienhypertexte"/>
            <w:lang w:val="pt-PT"/>
          </w:rPr>
          <w:t>5</w:t>
        </w:r>
      </w:hyperlink>
    </w:p>
  </w:footnote>
  <w:footnote w:id="4">
    <w:p w14:paraId="33DED10D" w14:textId="5635DD38" w:rsidR="00EC47B1" w:rsidRPr="004E1019" w:rsidRDefault="00EC47B1" w:rsidP="00EC47B1">
      <w:pPr>
        <w:pStyle w:val="Notedebasdepage"/>
        <w:rPr>
          <w:szCs w:val="18"/>
          <w:lang w:val="es-ES_tradnl"/>
        </w:rPr>
      </w:pPr>
      <w:r w:rsidRPr="0089295D">
        <w:rPr>
          <w:szCs w:val="18"/>
          <w:lang w:val="es-419"/>
        </w:rPr>
        <w:tab/>
      </w:r>
      <w:r>
        <w:rPr>
          <w:rStyle w:val="Appelnotedebasdep"/>
        </w:rPr>
        <w:footnoteRef/>
      </w:r>
      <w:r w:rsidRPr="004E1019">
        <w:rPr>
          <w:lang w:val="es-ES_tradnl"/>
        </w:rPr>
        <w:tab/>
      </w:r>
      <w:r>
        <w:rPr>
          <w:lang w:val="pt-PT"/>
        </w:rPr>
        <w:t xml:space="preserve">See </w:t>
      </w:r>
      <w:hyperlink r:id="rId2" w:history="1">
        <w:r w:rsidRPr="00272D6A">
          <w:rPr>
            <w:rStyle w:val="Lienhypertexte"/>
            <w:lang w:val="pt-PT"/>
          </w:rPr>
          <w:t>E/C.12/</w:t>
        </w:r>
        <w:r w:rsidR="004A68B0" w:rsidRPr="00272D6A">
          <w:rPr>
            <w:rStyle w:val="Lienhypertexte"/>
            <w:lang w:val="pt-PT"/>
          </w:rPr>
          <w:t>2023</w:t>
        </w:r>
        <w:r w:rsidRPr="00272D6A">
          <w:rPr>
            <w:rStyle w:val="Lienhypertexte"/>
            <w:lang w:val="pt-PT"/>
          </w:rPr>
          <w:t>/SR.</w:t>
        </w:r>
        <w:r w:rsidR="004A68B0" w:rsidRPr="00272D6A">
          <w:rPr>
            <w:rStyle w:val="Lienhypertexte"/>
            <w:lang w:val="pt-PT"/>
          </w:rPr>
          <w:t>41</w:t>
        </w:r>
      </w:hyperlink>
      <w:r>
        <w:rPr>
          <w:lang w:val="pt-PT"/>
        </w:rPr>
        <w:t xml:space="preserve"> and </w:t>
      </w:r>
      <w:hyperlink r:id="rId3" w:history="1">
        <w:r w:rsidRPr="00272D6A">
          <w:rPr>
            <w:rStyle w:val="Lienhypertexte"/>
            <w:lang w:val="pt-PT"/>
          </w:rPr>
          <w:t>E/C.12/</w:t>
        </w:r>
        <w:r w:rsidR="004A68B0" w:rsidRPr="00272D6A">
          <w:rPr>
            <w:rStyle w:val="Lienhypertexte"/>
            <w:lang w:val="pt-PT"/>
          </w:rPr>
          <w:t>2023</w:t>
        </w:r>
        <w:r w:rsidRPr="00272D6A">
          <w:rPr>
            <w:rStyle w:val="Lienhypertexte"/>
            <w:lang w:val="pt-PT"/>
          </w:rPr>
          <w:t>/SR.</w:t>
        </w:r>
        <w:r w:rsidR="004A68B0" w:rsidRPr="00272D6A">
          <w:rPr>
            <w:rStyle w:val="Lienhypertexte"/>
            <w:lang w:val="pt-PT"/>
          </w:rPr>
          <w:t>4</w:t>
        </w:r>
        <w:r w:rsidR="003D2917" w:rsidRPr="00272D6A">
          <w:rPr>
            <w:rStyle w:val="Lienhypertexte"/>
            <w:lang w:val="pt-PT"/>
          </w:rPr>
          <w:t>3</w:t>
        </w:r>
      </w:hyperlink>
    </w:p>
  </w:footnote>
  <w:footnote w:id="5">
    <w:p w14:paraId="2DD3B258" w14:textId="196B890A" w:rsidR="00FE6E6D" w:rsidRPr="004A68B0" w:rsidRDefault="00FE6E6D" w:rsidP="00FE6E6D">
      <w:pPr>
        <w:pStyle w:val="Notedebasdepage"/>
        <w:rPr>
          <w:sz w:val="16"/>
          <w:szCs w:val="16"/>
          <w:lang w:val="es-419"/>
        </w:rPr>
      </w:pPr>
      <w:r w:rsidRPr="004E1019">
        <w:rPr>
          <w:szCs w:val="18"/>
          <w:lang w:val="es-ES_tradnl"/>
        </w:rPr>
        <w:tab/>
      </w:r>
      <w:r>
        <w:rPr>
          <w:rStyle w:val="Appelnotedebasdep"/>
        </w:rPr>
        <w:footnoteRef/>
      </w:r>
      <w:r w:rsidRPr="004A68B0">
        <w:rPr>
          <w:lang w:val="es-419"/>
        </w:rPr>
        <w:t xml:space="preserve"> </w:t>
      </w:r>
      <w:r w:rsidRPr="004A68B0">
        <w:rPr>
          <w:lang w:val="es-419"/>
        </w:rPr>
        <w:tab/>
      </w:r>
      <w:hyperlink r:id="rId4" w:history="1">
        <w:r w:rsidRPr="004A68B0">
          <w:rPr>
            <w:rStyle w:val="Lienhypertexte"/>
            <w:lang w:val="es-419"/>
          </w:rPr>
          <w:t>E/C.12/FRA/QPR/</w:t>
        </w:r>
        <w:r w:rsidRPr="004A68B0">
          <w:rPr>
            <w:rStyle w:val="Lienhypertexte"/>
            <w:lang w:val="es-ES"/>
          </w:rPr>
          <w:t>5</w:t>
        </w:r>
      </w:hyperlink>
    </w:p>
  </w:footnote>
  <w:footnote w:id="6">
    <w:p w14:paraId="4C12B60C" w14:textId="3CD785C5" w:rsidR="009A7140" w:rsidRPr="009A7140" w:rsidRDefault="009A7140">
      <w:pPr>
        <w:pStyle w:val="Notedebasdepage"/>
        <w:rPr>
          <w:lang w:val="es-419"/>
        </w:rPr>
      </w:pPr>
      <w:r>
        <w:rPr>
          <w:lang w:val="es-419"/>
        </w:rPr>
        <w:tab/>
      </w:r>
      <w:r>
        <w:rPr>
          <w:rStyle w:val="Appelnotedebasdep"/>
        </w:rPr>
        <w:footnoteRef/>
      </w:r>
      <w:r w:rsidRPr="009A7140">
        <w:rPr>
          <w:lang w:val="es-419"/>
        </w:rPr>
        <w:t xml:space="preserve"> </w:t>
      </w:r>
      <w:r>
        <w:rPr>
          <w:lang w:val="es-419"/>
        </w:rPr>
        <w:tab/>
      </w:r>
      <w:hyperlink r:id="rId5" w:history="1">
        <w:r w:rsidRPr="009A7140">
          <w:rPr>
            <w:rStyle w:val="Lienhypertexte"/>
            <w:lang w:val="es-419"/>
          </w:rPr>
          <w:t>E/C.12/FRA/CO/4</w:t>
        </w:r>
      </w:hyperlink>
      <w:r w:rsidRPr="009A7140">
        <w:rPr>
          <w:lang w:val="es-419"/>
        </w:rPr>
        <w:t>, par</w:t>
      </w:r>
      <w:r>
        <w:rPr>
          <w:lang w:val="es-419"/>
        </w:rPr>
        <w:t>. 6</w:t>
      </w:r>
    </w:p>
  </w:footnote>
  <w:footnote w:id="7">
    <w:p w14:paraId="76A7F5D9" w14:textId="1E1C2F61" w:rsidR="009A7140" w:rsidRPr="009A7140" w:rsidRDefault="009A7140" w:rsidP="009A7140">
      <w:pPr>
        <w:pStyle w:val="Notedebasdepage"/>
        <w:rPr>
          <w:lang w:val="es-419"/>
        </w:rPr>
      </w:pPr>
      <w:r>
        <w:rPr>
          <w:lang w:val="es-419"/>
        </w:rPr>
        <w:tab/>
      </w:r>
      <w:r>
        <w:rPr>
          <w:rStyle w:val="Appelnotedebasdep"/>
        </w:rPr>
        <w:footnoteRef/>
      </w:r>
      <w:r w:rsidRPr="009A7140">
        <w:rPr>
          <w:lang w:val="es-419"/>
        </w:rPr>
        <w:t xml:space="preserve"> </w:t>
      </w:r>
      <w:r>
        <w:rPr>
          <w:lang w:val="es-419"/>
        </w:rPr>
        <w:tab/>
      </w:r>
      <w:hyperlink r:id="rId6" w:history="1">
        <w:r w:rsidRPr="009A7140">
          <w:rPr>
            <w:rStyle w:val="Lienhypertexte"/>
            <w:lang w:val="es-419"/>
          </w:rPr>
          <w:t>E/C.12/FRA/CO/4</w:t>
        </w:r>
      </w:hyperlink>
      <w:r w:rsidRPr="009A7140">
        <w:rPr>
          <w:lang w:val="es-419"/>
        </w:rPr>
        <w:t>, par</w:t>
      </w:r>
      <w:r>
        <w:rPr>
          <w:lang w:val="es-419"/>
        </w:rPr>
        <w:t>. 8</w:t>
      </w:r>
    </w:p>
  </w:footnote>
  <w:footnote w:id="8">
    <w:p w14:paraId="711829BA" w14:textId="1D1602FD" w:rsidR="00CB239C" w:rsidRPr="00CB239C" w:rsidRDefault="00CB239C">
      <w:pPr>
        <w:pStyle w:val="Notedebasdepage"/>
        <w:rPr>
          <w:lang w:val="es-419"/>
        </w:rPr>
      </w:pPr>
      <w:r>
        <w:rPr>
          <w:lang w:val="es-419"/>
        </w:rPr>
        <w:tab/>
      </w:r>
      <w:r>
        <w:rPr>
          <w:rStyle w:val="Appelnotedebasdep"/>
        </w:rPr>
        <w:footnoteRef/>
      </w:r>
      <w:r w:rsidRPr="00CB239C">
        <w:rPr>
          <w:lang w:val="es-419"/>
        </w:rPr>
        <w:t xml:space="preserve"> </w:t>
      </w:r>
      <w:r>
        <w:rPr>
          <w:lang w:val="es-419"/>
        </w:rPr>
        <w:tab/>
      </w:r>
      <w:hyperlink r:id="rId7" w:history="1">
        <w:r w:rsidR="00272D6A" w:rsidRPr="009A7140">
          <w:rPr>
            <w:rStyle w:val="Lienhypertexte"/>
            <w:lang w:val="es-419"/>
          </w:rPr>
          <w:t>E/C.12/FRA/CO/4</w:t>
        </w:r>
      </w:hyperlink>
      <w:r w:rsidRPr="009A7140">
        <w:rPr>
          <w:lang w:val="es-419"/>
        </w:rPr>
        <w:t>, par</w:t>
      </w:r>
      <w:r>
        <w:rPr>
          <w:lang w:val="es-419"/>
        </w:rPr>
        <w:t>. 21</w:t>
      </w:r>
    </w:p>
  </w:footnote>
  <w:footnote w:id="9">
    <w:p w14:paraId="273720CC" w14:textId="1887A959" w:rsidR="001C7871" w:rsidRPr="001C7871" w:rsidRDefault="001C7871">
      <w:pPr>
        <w:pStyle w:val="Notedebasdepage"/>
        <w:rPr>
          <w:lang w:val="es-419"/>
        </w:rPr>
      </w:pPr>
      <w:r>
        <w:rPr>
          <w:lang w:val="es-419"/>
        </w:rPr>
        <w:tab/>
      </w:r>
      <w:r>
        <w:rPr>
          <w:rStyle w:val="Appelnotedebasdep"/>
        </w:rPr>
        <w:footnoteRef/>
      </w:r>
      <w:r w:rsidRPr="001C7871">
        <w:rPr>
          <w:lang w:val="es-419"/>
        </w:rPr>
        <w:t xml:space="preserve"> </w:t>
      </w:r>
      <w:r>
        <w:rPr>
          <w:lang w:val="es-419"/>
        </w:rPr>
        <w:tab/>
      </w:r>
      <w:hyperlink r:id="rId8" w:history="1">
        <w:r w:rsidR="00272D6A" w:rsidRPr="009A7140">
          <w:rPr>
            <w:rStyle w:val="Lienhypertexte"/>
            <w:lang w:val="es-419"/>
          </w:rPr>
          <w:t>E/C.12/FRA/CO/4</w:t>
        </w:r>
      </w:hyperlink>
      <w:r w:rsidRPr="001C7871">
        <w:rPr>
          <w:rStyle w:val="Lienhypertexte"/>
          <w:color w:val="auto"/>
          <w:lang w:val="es-419"/>
        </w:rPr>
        <w:t>, par. 23</w:t>
      </w:r>
    </w:p>
  </w:footnote>
  <w:footnote w:id="10">
    <w:p w14:paraId="2683F28A" w14:textId="548FF23B" w:rsidR="001C7871" w:rsidRPr="001C7871" w:rsidRDefault="001C7871">
      <w:pPr>
        <w:pStyle w:val="Notedebasdepage"/>
        <w:rPr>
          <w:lang w:val="es-419"/>
        </w:rPr>
      </w:pPr>
      <w:r>
        <w:rPr>
          <w:lang w:val="es-419"/>
        </w:rPr>
        <w:tab/>
      </w:r>
      <w:r>
        <w:rPr>
          <w:rStyle w:val="Appelnotedebasdep"/>
        </w:rPr>
        <w:footnoteRef/>
      </w:r>
      <w:r w:rsidRPr="001C7871">
        <w:rPr>
          <w:lang w:val="es-419"/>
        </w:rPr>
        <w:t xml:space="preserve"> </w:t>
      </w:r>
      <w:r>
        <w:rPr>
          <w:lang w:val="es-419"/>
        </w:rPr>
        <w:tab/>
      </w:r>
      <w:hyperlink r:id="rId9" w:history="1">
        <w:r w:rsidR="00272D6A" w:rsidRPr="009A7140">
          <w:rPr>
            <w:rStyle w:val="Lienhypertexte"/>
            <w:lang w:val="es-419"/>
          </w:rPr>
          <w:t>E/C.12/FRA/CO/4</w:t>
        </w:r>
      </w:hyperlink>
      <w:r w:rsidRPr="001C7871">
        <w:rPr>
          <w:rStyle w:val="Lienhypertexte"/>
          <w:color w:val="auto"/>
          <w:lang w:val="es-419"/>
        </w:rPr>
        <w:t>, par. 28</w:t>
      </w:r>
    </w:p>
  </w:footnote>
  <w:footnote w:id="11">
    <w:p w14:paraId="2EAB6389" w14:textId="67555B32" w:rsidR="004C6F85" w:rsidRPr="00272D6A" w:rsidRDefault="004C6F85" w:rsidP="004C6F85">
      <w:pPr>
        <w:pStyle w:val="Notedebasdepage"/>
        <w:rPr>
          <w:lang w:val="es-ES_tradnl"/>
        </w:rPr>
      </w:pPr>
      <w:r w:rsidRPr="001C7871">
        <w:rPr>
          <w:lang w:val="es-419"/>
        </w:rPr>
        <w:tab/>
      </w:r>
      <w:r>
        <w:rPr>
          <w:rStyle w:val="Appelnotedebasdep"/>
        </w:rPr>
        <w:footnoteRef/>
      </w:r>
      <w:r w:rsidRPr="00272D6A">
        <w:rPr>
          <w:lang w:val="es-ES_tradnl"/>
        </w:rPr>
        <w:t xml:space="preserve"> </w:t>
      </w:r>
      <w:r w:rsidRPr="00272D6A">
        <w:rPr>
          <w:lang w:val="es-ES_tradnl"/>
        </w:rPr>
        <w:tab/>
      </w:r>
      <w:hyperlink r:id="rId10" w:history="1">
        <w:r w:rsidRPr="00272D6A">
          <w:rPr>
            <w:rStyle w:val="Lienhypertexte"/>
            <w:lang w:val="es-ES_tradnl"/>
          </w:rPr>
          <w:t>CERD/C/FRA/CO/22-23</w:t>
        </w:r>
      </w:hyperlink>
      <w:r w:rsidRPr="00272D6A">
        <w:rPr>
          <w:lang w:val="es-ES_tradnl"/>
        </w:rPr>
        <w:t>, par. 22</w:t>
      </w:r>
    </w:p>
  </w:footnote>
  <w:footnote w:id="12">
    <w:p w14:paraId="4F3A3C74" w14:textId="621EA769" w:rsidR="00420CC4" w:rsidRPr="009A7140" w:rsidRDefault="00C5568F" w:rsidP="00420CC4">
      <w:pPr>
        <w:pStyle w:val="Notedebasdepage"/>
        <w:rPr>
          <w:lang w:val="es-419"/>
        </w:rPr>
      </w:pPr>
      <w:r>
        <w:rPr>
          <w:lang w:val="es-419"/>
        </w:rPr>
        <w:tab/>
      </w:r>
      <w:r w:rsidR="00420CC4">
        <w:rPr>
          <w:rStyle w:val="Appelnotedebasdep"/>
        </w:rPr>
        <w:footnoteRef/>
      </w:r>
      <w:r w:rsidR="00420CC4" w:rsidRPr="00C5568F">
        <w:rPr>
          <w:lang w:val="es-419"/>
        </w:rPr>
        <w:t xml:space="preserve"> </w:t>
      </w:r>
      <w:r>
        <w:rPr>
          <w:lang w:val="es-419"/>
        </w:rPr>
        <w:tab/>
      </w:r>
      <w:r>
        <w:rPr>
          <w:lang w:val="es-419"/>
        </w:rPr>
        <w:tab/>
      </w:r>
      <w:hyperlink r:id="rId11" w:history="1">
        <w:r w:rsidR="00272D6A" w:rsidRPr="009A7140">
          <w:rPr>
            <w:rStyle w:val="Lienhypertexte"/>
            <w:lang w:val="es-419"/>
          </w:rPr>
          <w:t>E/C.12/FRA/CO/4</w:t>
        </w:r>
      </w:hyperlink>
      <w:r w:rsidR="00420CC4" w:rsidRPr="00C5568F">
        <w:rPr>
          <w:lang w:val="es-419"/>
        </w:rPr>
        <w:t xml:space="preserve">, par. </w:t>
      </w:r>
      <w:r w:rsidRPr="00C5568F">
        <w:rPr>
          <w:lang w:val="es-419"/>
        </w:rPr>
        <w:t>34</w:t>
      </w:r>
    </w:p>
    <w:p w14:paraId="7C5E9578" w14:textId="082E0F67" w:rsidR="00420CC4" w:rsidRPr="00C5568F" w:rsidRDefault="00420CC4">
      <w:pPr>
        <w:pStyle w:val="Notedebasdepage"/>
        <w:rPr>
          <w:lang w:val="es-419"/>
        </w:rPr>
      </w:pPr>
    </w:p>
  </w:footnote>
  <w:footnote w:id="13">
    <w:p w14:paraId="29BB218B" w14:textId="666797D0" w:rsidR="002B7E4C" w:rsidRPr="00272D6A" w:rsidRDefault="002B7E4C">
      <w:pPr>
        <w:pStyle w:val="Notedebasdepage"/>
        <w:rPr>
          <w:lang w:val="es-ES_tradnl"/>
        </w:rPr>
      </w:pPr>
      <w:r w:rsidRPr="00C5568F">
        <w:rPr>
          <w:lang w:val="es-419"/>
        </w:rPr>
        <w:tab/>
      </w:r>
      <w:r>
        <w:rPr>
          <w:rStyle w:val="Appelnotedebasdep"/>
        </w:rPr>
        <w:footnoteRef/>
      </w:r>
      <w:r w:rsidRPr="00272D6A">
        <w:rPr>
          <w:lang w:val="es-ES_tradnl"/>
        </w:rPr>
        <w:t xml:space="preserve"> </w:t>
      </w:r>
      <w:r w:rsidRPr="00272D6A">
        <w:rPr>
          <w:lang w:val="es-ES_tradnl"/>
        </w:rPr>
        <w:tab/>
      </w:r>
      <w:hyperlink r:id="rId12" w:history="1">
        <w:r w:rsidRPr="00272D6A">
          <w:rPr>
            <w:rStyle w:val="Lienhypertexte"/>
            <w:lang w:val="es-ES_tradnl"/>
          </w:rPr>
          <w:t>A/HRC/43/43/Add.2</w:t>
        </w:r>
      </w:hyperlink>
    </w:p>
  </w:footnote>
  <w:footnote w:id="14">
    <w:p w14:paraId="6779492C" w14:textId="13924103" w:rsidR="006C0AFD" w:rsidRPr="006C0AFD" w:rsidRDefault="006C0AFD">
      <w:pPr>
        <w:pStyle w:val="Notedebasdepage"/>
        <w:rPr>
          <w:lang w:val="es-419"/>
        </w:rPr>
      </w:pPr>
      <w:r w:rsidRPr="00272D6A">
        <w:rPr>
          <w:lang w:val="es-ES_tradnl"/>
        </w:rPr>
        <w:tab/>
      </w:r>
      <w:r>
        <w:rPr>
          <w:rStyle w:val="Appelnotedebasdep"/>
        </w:rPr>
        <w:footnoteRef/>
      </w:r>
      <w:r>
        <w:rPr>
          <w:lang w:val="es-419"/>
        </w:rPr>
        <w:tab/>
      </w:r>
      <w:hyperlink r:id="rId13" w:history="1">
        <w:r w:rsidR="00272D6A" w:rsidRPr="009A7140">
          <w:rPr>
            <w:rStyle w:val="Lienhypertexte"/>
            <w:lang w:val="es-419"/>
          </w:rPr>
          <w:t>E/C.12/FRA/CO/4</w:t>
        </w:r>
      </w:hyperlink>
      <w:r w:rsidRPr="006C0AFD">
        <w:rPr>
          <w:rStyle w:val="Lienhypertexte"/>
          <w:color w:val="auto"/>
          <w:lang w:val="es-419"/>
        </w:rPr>
        <w:t xml:space="preserve">, </w:t>
      </w:r>
      <w:proofErr w:type="spellStart"/>
      <w:r w:rsidRPr="006C0AFD">
        <w:rPr>
          <w:rStyle w:val="Lienhypertexte"/>
          <w:color w:val="auto"/>
          <w:lang w:val="es-419"/>
        </w:rPr>
        <w:t>par</w:t>
      </w:r>
      <w:r>
        <w:rPr>
          <w:rStyle w:val="Lienhypertexte"/>
          <w:color w:val="auto"/>
          <w:lang w:val="es-419"/>
        </w:rPr>
        <w:t>s</w:t>
      </w:r>
      <w:proofErr w:type="spellEnd"/>
      <w:r>
        <w:rPr>
          <w:rStyle w:val="Lienhypertexte"/>
          <w:color w:val="auto"/>
          <w:lang w:val="es-419"/>
        </w:rPr>
        <w:t>. 15 et 57</w:t>
      </w:r>
    </w:p>
  </w:footnote>
  <w:footnote w:id="15">
    <w:p w14:paraId="49B94A1D" w14:textId="720111B8" w:rsidR="00EC47B1" w:rsidRPr="004A68B0" w:rsidRDefault="00EC47B1" w:rsidP="00EC47B1">
      <w:pPr>
        <w:pStyle w:val="Notedebasdepage"/>
        <w:rPr>
          <w:sz w:val="16"/>
          <w:szCs w:val="16"/>
          <w:lang w:val="es-419"/>
        </w:rPr>
      </w:pPr>
      <w:r w:rsidRPr="006C0AFD">
        <w:rPr>
          <w:sz w:val="16"/>
          <w:szCs w:val="16"/>
          <w:lang w:val="es-419"/>
        </w:rPr>
        <w:tab/>
      </w:r>
      <w:r>
        <w:rPr>
          <w:rStyle w:val="Appelnotedebasdep"/>
        </w:rPr>
        <w:footnoteRef/>
      </w:r>
      <w:r w:rsidRPr="004A68B0">
        <w:rPr>
          <w:lang w:val="es-419"/>
        </w:rPr>
        <w:t xml:space="preserve"> </w:t>
      </w:r>
      <w:r w:rsidRPr="004A68B0">
        <w:rPr>
          <w:lang w:val="es-419"/>
        </w:rPr>
        <w:tab/>
      </w:r>
      <w:hyperlink r:id="rId14" w:history="1">
        <w:r w:rsidRPr="004A68B0">
          <w:rPr>
            <w:rStyle w:val="Lienhypertexte"/>
            <w:lang w:val="es-419"/>
          </w:rPr>
          <w:t>E/C.12/2019/1</w:t>
        </w:r>
      </w:hyperlink>
      <w:r w:rsidRPr="004A68B0">
        <w:rPr>
          <w:lang w:val="es-419"/>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391B6" w14:textId="77777777" w:rsidR="005043D0" w:rsidRDefault="00553C2F">
    <w:pPr>
      <w:pStyle w:val="En-tte"/>
    </w:pPr>
    <w:r>
      <w:t>E/C.12/FRA/CO/R.5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0F69" w14:textId="77777777" w:rsidR="005043D0" w:rsidRDefault="00553C2F">
    <w:pPr>
      <w:pStyle w:val="En-tte"/>
      <w:jc w:val="right"/>
    </w:pPr>
    <w:r>
      <w:t>E/C.12/FRA/CO/R.5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370DF"/>
    <w:multiLevelType w:val="hybridMultilevel"/>
    <w:tmpl w:val="9FA61DC4"/>
    <w:lvl w:ilvl="0" w:tplc="4E0C793E">
      <w:start w:val="1"/>
      <w:numFmt w:val="lowerLetter"/>
      <w:lvlText w:val="(%1)"/>
      <w:lvlJc w:val="left"/>
      <w:pPr>
        <w:ind w:left="2049" w:hanging="360"/>
      </w:pPr>
      <w:rPr>
        <w:rFonts w:hint="default"/>
        <w:b w:val="0"/>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1" w15:restartNumberingAfterBreak="0">
    <w:nsid w:val="07B37BE7"/>
    <w:multiLevelType w:val="hybridMultilevel"/>
    <w:tmpl w:val="10C0F368"/>
    <w:lvl w:ilvl="0" w:tplc="8ECC96AC">
      <w:start w:val="1"/>
      <w:numFmt w:val="decimal"/>
      <w:lvlText w:val="%1."/>
      <w:lvlJc w:val="left"/>
      <w:pPr>
        <w:ind w:left="1854" w:hanging="360"/>
      </w:pPr>
      <w:rPr>
        <w:b w:val="0"/>
      </w:r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12" w15:restartNumberingAfterBreak="0">
    <w:nsid w:val="0A9939A7"/>
    <w:multiLevelType w:val="hybridMultilevel"/>
    <w:tmpl w:val="46241FF4"/>
    <w:lvl w:ilvl="0" w:tplc="7950568A">
      <w:start w:val="50"/>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3" w15:restartNumberingAfterBreak="0">
    <w:nsid w:val="0D954887"/>
    <w:multiLevelType w:val="hybridMultilevel"/>
    <w:tmpl w:val="6E24C118"/>
    <w:lvl w:ilvl="0" w:tplc="A2D0A696">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6C741ACA" w:tentative="1">
      <w:start w:val="1"/>
      <w:numFmt w:val="lowerLetter"/>
      <w:lvlText w:val="%2."/>
      <w:lvlJc w:val="left"/>
      <w:pPr>
        <w:tabs>
          <w:tab w:val="num" w:pos="1440"/>
        </w:tabs>
        <w:ind w:left="1440" w:hanging="360"/>
      </w:pPr>
    </w:lvl>
    <w:lvl w:ilvl="2" w:tplc="105E498A" w:tentative="1">
      <w:start w:val="1"/>
      <w:numFmt w:val="lowerRoman"/>
      <w:lvlText w:val="%3."/>
      <w:lvlJc w:val="right"/>
      <w:pPr>
        <w:tabs>
          <w:tab w:val="num" w:pos="2160"/>
        </w:tabs>
        <w:ind w:left="2160" w:hanging="180"/>
      </w:pPr>
    </w:lvl>
    <w:lvl w:ilvl="3" w:tplc="C172CAFC" w:tentative="1">
      <w:start w:val="1"/>
      <w:numFmt w:val="decimal"/>
      <w:lvlText w:val="%4."/>
      <w:lvlJc w:val="left"/>
      <w:pPr>
        <w:tabs>
          <w:tab w:val="num" w:pos="2880"/>
        </w:tabs>
        <w:ind w:left="2880" w:hanging="360"/>
      </w:pPr>
    </w:lvl>
    <w:lvl w:ilvl="4" w:tplc="ACEEC34E" w:tentative="1">
      <w:start w:val="1"/>
      <w:numFmt w:val="lowerLetter"/>
      <w:lvlText w:val="%5."/>
      <w:lvlJc w:val="left"/>
      <w:pPr>
        <w:tabs>
          <w:tab w:val="num" w:pos="3600"/>
        </w:tabs>
        <w:ind w:left="3600" w:hanging="360"/>
      </w:pPr>
    </w:lvl>
    <w:lvl w:ilvl="5" w:tplc="3DA6858A" w:tentative="1">
      <w:start w:val="1"/>
      <w:numFmt w:val="lowerRoman"/>
      <w:lvlText w:val="%6."/>
      <w:lvlJc w:val="right"/>
      <w:pPr>
        <w:tabs>
          <w:tab w:val="num" w:pos="4320"/>
        </w:tabs>
        <w:ind w:left="4320" w:hanging="180"/>
      </w:pPr>
    </w:lvl>
    <w:lvl w:ilvl="6" w:tplc="89B2F0DC" w:tentative="1">
      <w:start w:val="1"/>
      <w:numFmt w:val="decimal"/>
      <w:lvlText w:val="%7."/>
      <w:lvlJc w:val="left"/>
      <w:pPr>
        <w:tabs>
          <w:tab w:val="num" w:pos="5040"/>
        </w:tabs>
        <w:ind w:left="5040" w:hanging="360"/>
      </w:pPr>
    </w:lvl>
    <w:lvl w:ilvl="7" w:tplc="C63690A2" w:tentative="1">
      <w:start w:val="1"/>
      <w:numFmt w:val="lowerLetter"/>
      <w:lvlText w:val="%8."/>
      <w:lvlJc w:val="left"/>
      <w:pPr>
        <w:tabs>
          <w:tab w:val="num" w:pos="5760"/>
        </w:tabs>
        <w:ind w:left="5760" w:hanging="360"/>
      </w:pPr>
    </w:lvl>
    <w:lvl w:ilvl="8" w:tplc="02F844BE" w:tentative="1">
      <w:start w:val="1"/>
      <w:numFmt w:val="lowerRoman"/>
      <w:lvlText w:val="%9."/>
      <w:lvlJc w:val="right"/>
      <w:pPr>
        <w:tabs>
          <w:tab w:val="num" w:pos="6480"/>
        </w:tabs>
        <w:ind w:left="6480" w:hanging="180"/>
      </w:pPr>
    </w:lvl>
  </w:abstractNum>
  <w:abstractNum w:abstractNumId="14" w15:restartNumberingAfterBreak="0">
    <w:nsid w:val="12BA2A88"/>
    <w:multiLevelType w:val="hybridMultilevel"/>
    <w:tmpl w:val="9E661A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AD04157"/>
    <w:multiLevelType w:val="hybridMultilevel"/>
    <w:tmpl w:val="617644D4"/>
    <w:lvl w:ilvl="0" w:tplc="DF3474CE">
      <w:start w:val="1"/>
      <w:numFmt w:val="lowerLetter"/>
      <w:lvlText w:val="%1)"/>
      <w:lvlJc w:val="left"/>
      <w:pPr>
        <w:ind w:left="1494"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16" w15:restartNumberingAfterBreak="0">
    <w:nsid w:val="23D31E00"/>
    <w:multiLevelType w:val="hybridMultilevel"/>
    <w:tmpl w:val="AE4407C2"/>
    <w:lvl w:ilvl="0" w:tplc="C95A3E6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325638A5"/>
    <w:multiLevelType w:val="hybridMultilevel"/>
    <w:tmpl w:val="02D87654"/>
    <w:lvl w:ilvl="0" w:tplc="8CDA20B4">
      <w:start w:val="1"/>
      <w:numFmt w:val="lowerLetter"/>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3ACF4EB2"/>
    <w:multiLevelType w:val="hybridMultilevel"/>
    <w:tmpl w:val="AE82671E"/>
    <w:lvl w:ilvl="0" w:tplc="E92266D4">
      <w:start w:val="1"/>
      <w:numFmt w:val="bullet"/>
      <w:pStyle w:val="Bullet2G"/>
      <w:lvlText w:val="•"/>
      <w:lvlJc w:val="left"/>
      <w:pPr>
        <w:tabs>
          <w:tab w:val="num" w:pos="2268"/>
        </w:tabs>
        <w:ind w:left="2268" w:hanging="170"/>
      </w:pPr>
      <w:rPr>
        <w:rFonts w:ascii="Times New Roman" w:hAnsi="Times New Roman" w:cs="Times New Roman" w:hint="default"/>
      </w:rPr>
    </w:lvl>
    <w:lvl w:ilvl="1" w:tplc="5730445C" w:tentative="1">
      <w:start w:val="1"/>
      <w:numFmt w:val="bullet"/>
      <w:lvlText w:val="o"/>
      <w:lvlJc w:val="left"/>
      <w:pPr>
        <w:tabs>
          <w:tab w:val="num" w:pos="3708"/>
        </w:tabs>
        <w:ind w:left="3708" w:hanging="360"/>
      </w:pPr>
      <w:rPr>
        <w:rFonts w:ascii="Courier New" w:hAnsi="Courier New" w:hint="default"/>
      </w:rPr>
    </w:lvl>
    <w:lvl w:ilvl="2" w:tplc="1442885C" w:tentative="1">
      <w:start w:val="1"/>
      <w:numFmt w:val="bullet"/>
      <w:lvlText w:val=""/>
      <w:lvlJc w:val="left"/>
      <w:pPr>
        <w:tabs>
          <w:tab w:val="num" w:pos="4428"/>
        </w:tabs>
        <w:ind w:left="4428" w:hanging="360"/>
      </w:pPr>
      <w:rPr>
        <w:rFonts w:ascii="Wingdings" w:hAnsi="Wingdings" w:hint="default"/>
      </w:rPr>
    </w:lvl>
    <w:lvl w:ilvl="3" w:tplc="BECC162A" w:tentative="1">
      <w:start w:val="1"/>
      <w:numFmt w:val="bullet"/>
      <w:lvlText w:val=""/>
      <w:lvlJc w:val="left"/>
      <w:pPr>
        <w:tabs>
          <w:tab w:val="num" w:pos="5148"/>
        </w:tabs>
        <w:ind w:left="5148" w:hanging="360"/>
      </w:pPr>
      <w:rPr>
        <w:rFonts w:ascii="Symbol" w:hAnsi="Symbol" w:hint="default"/>
      </w:rPr>
    </w:lvl>
    <w:lvl w:ilvl="4" w:tplc="9E161868" w:tentative="1">
      <w:start w:val="1"/>
      <w:numFmt w:val="bullet"/>
      <w:lvlText w:val="o"/>
      <w:lvlJc w:val="left"/>
      <w:pPr>
        <w:tabs>
          <w:tab w:val="num" w:pos="5868"/>
        </w:tabs>
        <w:ind w:left="5868" w:hanging="360"/>
      </w:pPr>
      <w:rPr>
        <w:rFonts w:ascii="Courier New" w:hAnsi="Courier New" w:hint="default"/>
      </w:rPr>
    </w:lvl>
    <w:lvl w:ilvl="5" w:tplc="A55C4B06" w:tentative="1">
      <w:start w:val="1"/>
      <w:numFmt w:val="bullet"/>
      <w:lvlText w:val=""/>
      <w:lvlJc w:val="left"/>
      <w:pPr>
        <w:tabs>
          <w:tab w:val="num" w:pos="6588"/>
        </w:tabs>
        <w:ind w:left="6588" w:hanging="360"/>
      </w:pPr>
      <w:rPr>
        <w:rFonts w:ascii="Wingdings" w:hAnsi="Wingdings" w:hint="default"/>
      </w:rPr>
    </w:lvl>
    <w:lvl w:ilvl="6" w:tplc="8FFC42C2" w:tentative="1">
      <w:start w:val="1"/>
      <w:numFmt w:val="bullet"/>
      <w:lvlText w:val=""/>
      <w:lvlJc w:val="left"/>
      <w:pPr>
        <w:tabs>
          <w:tab w:val="num" w:pos="7308"/>
        </w:tabs>
        <w:ind w:left="7308" w:hanging="360"/>
      </w:pPr>
      <w:rPr>
        <w:rFonts w:ascii="Symbol" w:hAnsi="Symbol" w:hint="default"/>
      </w:rPr>
    </w:lvl>
    <w:lvl w:ilvl="7" w:tplc="84A883B4" w:tentative="1">
      <w:start w:val="1"/>
      <w:numFmt w:val="bullet"/>
      <w:lvlText w:val="o"/>
      <w:lvlJc w:val="left"/>
      <w:pPr>
        <w:tabs>
          <w:tab w:val="num" w:pos="8028"/>
        </w:tabs>
        <w:ind w:left="8028" w:hanging="360"/>
      </w:pPr>
      <w:rPr>
        <w:rFonts w:ascii="Courier New" w:hAnsi="Courier New" w:hint="default"/>
      </w:rPr>
    </w:lvl>
    <w:lvl w:ilvl="8" w:tplc="F7B8101E"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421A2D83"/>
    <w:multiLevelType w:val="hybridMultilevel"/>
    <w:tmpl w:val="348A1AD2"/>
    <w:lvl w:ilvl="0" w:tplc="B630C222">
      <w:start w:val="5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48B913A5"/>
    <w:multiLevelType w:val="hybridMultilevel"/>
    <w:tmpl w:val="52308638"/>
    <w:lvl w:ilvl="0" w:tplc="06E2795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4E4C794E"/>
    <w:multiLevelType w:val="hybridMultilevel"/>
    <w:tmpl w:val="9C9CB740"/>
    <w:lvl w:ilvl="0" w:tplc="51602924">
      <w:start w:val="1"/>
      <w:numFmt w:val="lowerLetter"/>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52FD748A"/>
    <w:multiLevelType w:val="hybridMultilevel"/>
    <w:tmpl w:val="D18676BE"/>
    <w:lvl w:ilvl="0" w:tplc="4D98182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532F72FA"/>
    <w:multiLevelType w:val="hybridMultilevel"/>
    <w:tmpl w:val="73DE696E"/>
    <w:lvl w:ilvl="0" w:tplc="FFFFFFFF">
      <w:start w:val="1"/>
      <w:numFmt w:val="lowerLetter"/>
      <w:lvlText w:val="%1)"/>
      <w:lvlJc w:val="left"/>
      <w:pPr>
        <w:ind w:left="1494" w:hanging="360"/>
      </w:pPr>
    </w:lvl>
    <w:lvl w:ilvl="1" w:tplc="FFFFFFFF">
      <w:start w:val="1"/>
      <w:numFmt w:val="lowerLetter"/>
      <w:lvlText w:val="%2."/>
      <w:lvlJc w:val="left"/>
      <w:pPr>
        <w:ind w:left="2214" w:hanging="360"/>
      </w:pPr>
    </w:lvl>
    <w:lvl w:ilvl="2" w:tplc="FFFFFFFF">
      <w:start w:val="1"/>
      <w:numFmt w:val="lowerRoman"/>
      <w:lvlText w:val="%3."/>
      <w:lvlJc w:val="right"/>
      <w:pPr>
        <w:ind w:left="2934" w:hanging="180"/>
      </w:pPr>
    </w:lvl>
    <w:lvl w:ilvl="3" w:tplc="FFFFFFFF">
      <w:start w:val="1"/>
      <w:numFmt w:val="decimal"/>
      <w:lvlText w:val="%4."/>
      <w:lvlJc w:val="left"/>
      <w:pPr>
        <w:ind w:left="3654" w:hanging="360"/>
      </w:pPr>
    </w:lvl>
    <w:lvl w:ilvl="4" w:tplc="FFFFFFFF">
      <w:start w:val="1"/>
      <w:numFmt w:val="lowerLetter"/>
      <w:lvlText w:val="%5."/>
      <w:lvlJc w:val="left"/>
      <w:pPr>
        <w:ind w:left="4374" w:hanging="360"/>
      </w:pPr>
    </w:lvl>
    <w:lvl w:ilvl="5" w:tplc="FFFFFFFF">
      <w:start w:val="1"/>
      <w:numFmt w:val="lowerRoman"/>
      <w:lvlText w:val="%6."/>
      <w:lvlJc w:val="right"/>
      <w:pPr>
        <w:ind w:left="5094" w:hanging="180"/>
      </w:pPr>
    </w:lvl>
    <w:lvl w:ilvl="6" w:tplc="FFFFFFFF">
      <w:start w:val="1"/>
      <w:numFmt w:val="decimal"/>
      <w:lvlText w:val="%7."/>
      <w:lvlJc w:val="left"/>
      <w:pPr>
        <w:ind w:left="5814" w:hanging="360"/>
      </w:pPr>
    </w:lvl>
    <w:lvl w:ilvl="7" w:tplc="FFFFFFFF">
      <w:start w:val="1"/>
      <w:numFmt w:val="lowerLetter"/>
      <w:lvlText w:val="%8."/>
      <w:lvlJc w:val="left"/>
      <w:pPr>
        <w:ind w:left="6534" w:hanging="360"/>
      </w:pPr>
    </w:lvl>
    <w:lvl w:ilvl="8" w:tplc="FFFFFFFF">
      <w:start w:val="1"/>
      <w:numFmt w:val="lowerRoman"/>
      <w:lvlText w:val="%9."/>
      <w:lvlJc w:val="right"/>
      <w:pPr>
        <w:ind w:left="7254" w:hanging="180"/>
      </w:pPr>
    </w:lvl>
  </w:abstractNum>
  <w:abstractNum w:abstractNumId="24" w15:restartNumberingAfterBreak="0">
    <w:nsid w:val="54EA6F83"/>
    <w:multiLevelType w:val="hybridMultilevel"/>
    <w:tmpl w:val="736435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A8B53BF"/>
    <w:multiLevelType w:val="hybridMultilevel"/>
    <w:tmpl w:val="6E308F88"/>
    <w:lvl w:ilvl="0" w:tplc="A7FC0460">
      <w:start w:val="1"/>
      <w:numFmt w:val="decimal"/>
      <w:lvlText w:val="%1."/>
      <w:lvlJc w:val="left"/>
      <w:pPr>
        <w:ind w:left="1854" w:hanging="360"/>
      </w:pPr>
      <w:rPr>
        <w:b w:val="0"/>
        <w:bCs w:val="0"/>
      </w:rPr>
    </w:lvl>
    <w:lvl w:ilvl="1" w:tplc="F878BC64">
      <w:start w:val="1"/>
      <w:numFmt w:val="lowerLetter"/>
      <w:lvlText w:val="%2)"/>
      <w:lvlJc w:val="left"/>
      <w:pPr>
        <w:ind w:left="2784" w:hanging="570"/>
      </w:pPr>
      <w:rPr>
        <w:rFonts w:hint="default"/>
        <w:b w:val="0"/>
        <w:bCs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611120FD"/>
    <w:multiLevelType w:val="hybridMultilevel"/>
    <w:tmpl w:val="7BAE2D44"/>
    <w:lvl w:ilvl="0" w:tplc="6C6A7EA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620E6FAC"/>
    <w:multiLevelType w:val="hybridMultilevel"/>
    <w:tmpl w:val="CB6A218A"/>
    <w:lvl w:ilvl="0" w:tplc="7FD2404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68AD07B2"/>
    <w:multiLevelType w:val="hybridMultilevel"/>
    <w:tmpl w:val="36D6316E"/>
    <w:lvl w:ilvl="0" w:tplc="BFB2AAC6">
      <w:start w:val="1"/>
      <w:numFmt w:val="bullet"/>
      <w:pStyle w:val="Bullet1G"/>
      <w:lvlText w:val="•"/>
      <w:lvlJc w:val="left"/>
      <w:pPr>
        <w:tabs>
          <w:tab w:val="num" w:pos="1701"/>
        </w:tabs>
        <w:ind w:left="1701" w:hanging="170"/>
      </w:pPr>
      <w:rPr>
        <w:rFonts w:ascii="Times New Roman" w:hAnsi="Times New Roman" w:cs="Times New Roman" w:hint="default"/>
      </w:rPr>
    </w:lvl>
    <w:lvl w:ilvl="1" w:tplc="0F6E75DE" w:tentative="1">
      <w:start w:val="1"/>
      <w:numFmt w:val="bullet"/>
      <w:lvlText w:val="o"/>
      <w:lvlJc w:val="left"/>
      <w:pPr>
        <w:tabs>
          <w:tab w:val="num" w:pos="3141"/>
        </w:tabs>
        <w:ind w:left="3141" w:hanging="360"/>
      </w:pPr>
      <w:rPr>
        <w:rFonts w:ascii="Courier New" w:hAnsi="Courier New" w:hint="default"/>
      </w:rPr>
    </w:lvl>
    <w:lvl w:ilvl="2" w:tplc="681A400E" w:tentative="1">
      <w:start w:val="1"/>
      <w:numFmt w:val="bullet"/>
      <w:lvlText w:val=""/>
      <w:lvlJc w:val="left"/>
      <w:pPr>
        <w:tabs>
          <w:tab w:val="num" w:pos="3861"/>
        </w:tabs>
        <w:ind w:left="3861" w:hanging="360"/>
      </w:pPr>
      <w:rPr>
        <w:rFonts w:ascii="Wingdings" w:hAnsi="Wingdings" w:hint="default"/>
      </w:rPr>
    </w:lvl>
    <w:lvl w:ilvl="3" w:tplc="A8543754" w:tentative="1">
      <w:start w:val="1"/>
      <w:numFmt w:val="bullet"/>
      <w:lvlText w:val=""/>
      <w:lvlJc w:val="left"/>
      <w:pPr>
        <w:tabs>
          <w:tab w:val="num" w:pos="4581"/>
        </w:tabs>
        <w:ind w:left="4581" w:hanging="360"/>
      </w:pPr>
      <w:rPr>
        <w:rFonts w:ascii="Symbol" w:hAnsi="Symbol" w:hint="default"/>
      </w:rPr>
    </w:lvl>
    <w:lvl w:ilvl="4" w:tplc="EF121D6A" w:tentative="1">
      <w:start w:val="1"/>
      <w:numFmt w:val="bullet"/>
      <w:lvlText w:val="o"/>
      <w:lvlJc w:val="left"/>
      <w:pPr>
        <w:tabs>
          <w:tab w:val="num" w:pos="5301"/>
        </w:tabs>
        <w:ind w:left="5301" w:hanging="360"/>
      </w:pPr>
      <w:rPr>
        <w:rFonts w:ascii="Courier New" w:hAnsi="Courier New" w:hint="default"/>
      </w:rPr>
    </w:lvl>
    <w:lvl w:ilvl="5" w:tplc="B5B469AC" w:tentative="1">
      <w:start w:val="1"/>
      <w:numFmt w:val="bullet"/>
      <w:lvlText w:val=""/>
      <w:lvlJc w:val="left"/>
      <w:pPr>
        <w:tabs>
          <w:tab w:val="num" w:pos="6021"/>
        </w:tabs>
        <w:ind w:left="6021" w:hanging="360"/>
      </w:pPr>
      <w:rPr>
        <w:rFonts w:ascii="Wingdings" w:hAnsi="Wingdings" w:hint="default"/>
      </w:rPr>
    </w:lvl>
    <w:lvl w:ilvl="6" w:tplc="8B36024C" w:tentative="1">
      <w:start w:val="1"/>
      <w:numFmt w:val="bullet"/>
      <w:lvlText w:val=""/>
      <w:lvlJc w:val="left"/>
      <w:pPr>
        <w:tabs>
          <w:tab w:val="num" w:pos="6741"/>
        </w:tabs>
        <w:ind w:left="6741" w:hanging="360"/>
      </w:pPr>
      <w:rPr>
        <w:rFonts w:ascii="Symbol" w:hAnsi="Symbol" w:hint="default"/>
      </w:rPr>
    </w:lvl>
    <w:lvl w:ilvl="7" w:tplc="764CCADC" w:tentative="1">
      <w:start w:val="1"/>
      <w:numFmt w:val="bullet"/>
      <w:lvlText w:val="o"/>
      <w:lvlJc w:val="left"/>
      <w:pPr>
        <w:tabs>
          <w:tab w:val="num" w:pos="7461"/>
        </w:tabs>
        <w:ind w:left="7461" w:hanging="360"/>
      </w:pPr>
      <w:rPr>
        <w:rFonts w:ascii="Courier New" w:hAnsi="Courier New" w:hint="default"/>
      </w:rPr>
    </w:lvl>
    <w:lvl w:ilvl="8" w:tplc="DD9647D0" w:tentative="1">
      <w:start w:val="1"/>
      <w:numFmt w:val="bullet"/>
      <w:lvlText w:val=""/>
      <w:lvlJc w:val="left"/>
      <w:pPr>
        <w:tabs>
          <w:tab w:val="num" w:pos="8181"/>
        </w:tabs>
        <w:ind w:left="8181" w:hanging="360"/>
      </w:pPr>
      <w:rPr>
        <w:rFonts w:ascii="Wingdings" w:hAnsi="Wingdings" w:hint="default"/>
      </w:rPr>
    </w:lvl>
  </w:abstractNum>
  <w:abstractNum w:abstractNumId="29" w15:restartNumberingAfterBreak="0">
    <w:nsid w:val="721B4695"/>
    <w:multiLevelType w:val="hybridMultilevel"/>
    <w:tmpl w:val="8318CC94"/>
    <w:lvl w:ilvl="0" w:tplc="858A7F5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72D23674"/>
    <w:multiLevelType w:val="hybridMultilevel"/>
    <w:tmpl w:val="33D02ABA"/>
    <w:lvl w:ilvl="0" w:tplc="0F3E032E">
      <w:start w:val="50"/>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15:restartNumberingAfterBreak="0">
    <w:nsid w:val="751C7744"/>
    <w:multiLevelType w:val="hybridMultilevel"/>
    <w:tmpl w:val="73DE696E"/>
    <w:lvl w:ilvl="0" w:tplc="FFFFFFFF">
      <w:start w:val="1"/>
      <w:numFmt w:val="lowerLetter"/>
      <w:lvlText w:val="%1)"/>
      <w:lvlJc w:val="left"/>
      <w:pPr>
        <w:ind w:left="1494" w:hanging="360"/>
      </w:pPr>
    </w:lvl>
    <w:lvl w:ilvl="1" w:tplc="FFFFFFFF">
      <w:start w:val="1"/>
      <w:numFmt w:val="lowerLetter"/>
      <w:lvlText w:val="%2."/>
      <w:lvlJc w:val="left"/>
      <w:pPr>
        <w:ind w:left="2214" w:hanging="360"/>
      </w:pPr>
    </w:lvl>
    <w:lvl w:ilvl="2" w:tplc="FFFFFFFF">
      <w:start w:val="1"/>
      <w:numFmt w:val="lowerRoman"/>
      <w:lvlText w:val="%3."/>
      <w:lvlJc w:val="right"/>
      <w:pPr>
        <w:ind w:left="2934" w:hanging="180"/>
      </w:pPr>
    </w:lvl>
    <w:lvl w:ilvl="3" w:tplc="FFFFFFFF">
      <w:start w:val="1"/>
      <w:numFmt w:val="decimal"/>
      <w:lvlText w:val="%4."/>
      <w:lvlJc w:val="left"/>
      <w:pPr>
        <w:ind w:left="3654" w:hanging="360"/>
      </w:pPr>
    </w:lvl>
    <w:lvl w:ilvl="4" w:tplc="FFFFFFFF">
      <w:start w:val="1"/>
      <w:numFmt w:val="lowerLetter"/>
      <w:lvlText w:val="%5."/>
      <w:lvlJc w:val="left"/>
      <w:pPr>
        <w:ind w:left="4374" w:hanging="360"/>
      </w:pPr>
    </w:lvl>
    <w:lvl w:ilvl="5" w:tplc="FFFFFFFF">
      <w:start w:val="1"/>
      <w:numFmt w:val="lowerRoman"/>
      <w:lvlText w:val="%6."/>
      <w:lvlJc w:val="right"/>
      <w:pPr>
        <w:ind w:left="5094" w:hanging="180"/>
      </w:pPr>
    </w:lvl>
    <w:lvl w:ilvl="6" w:tplc="FFFFFFFF">
      <w:start w:val="1"/>
      <w:numFmt w:val="decimal"/>
      <w:lvlText w:val="%7."/>
      <w:lvlJc w:val="left"/>
      <w:pPr>
        <w:ind w:left="5814" w:hanging="360"/>
      </w:pPr>
    </w:lvl>
    <w:lvl w:ilvl="7" w:tplc="FFFFFFFF">
      <w:start w:val="1"/>
      <w:numFmt w:val="lowerLetter"/>
      <w:lvlText w:val="%8."/>
      <w:lvlJc w:val="left"/>
      <w:pPr>
        <w:ind w:left="6534" w:hanging="360"/>
      </w:pPr>
    </w:lvl>
    <w:lvl w:ilvl="8" w:tplc="FFFFFFFF">
      <w:start w:val="1"/>
      <w:numFmt w:val="lowerRoman"/>
      <w:lvlText w:val="%9."/>
      <w:lvlJc w:val="right"/>
      <w:pPr>
        <w:ind w:left="7254" w:hanging="180"/>
      </w:pPr>
    </w:lvl>
  </w:abstractNum>
  <w:abstractNum w:abstractNumId="32" w15:restartNumberingAfterBreak="0">
    <w:nsid w:val="785E737B"/>
    <w:multiLevelType w:val="hybridMultilevel"/>
    <w:tmpl w:val="73DE696E"/>
    <w:lvl w:ilvl="0" w:tplc="32368C64">
      <w:start w:val="1"/>
      <w:numFmt w:val="lowerLetter"/>
      <w:lvlText w:val="%1)"/>
      <w:lvlJc w:val="left"/>
      <w:pPr>
        <w:ind w:left="1494"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33" w15:restartNumberingAfterBreak="0">
    <w:nsid w:val="7C133E51"/>
    <w:multiLevelType w:val="hybridMultilevel"/>
    <w:tmpl w:val="80DCE942"/>
    <w:lvl w:ilvl="0" w:tplc="291EEB82">
      <w:start w:val="1"/>
      <w:numFmt w:val="lowerLetter"/>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15:restartNumberingAfterBreak="0">
    <w:nsid w:val="7E9E525C"/>
    <w:multiLevelType w:val="hybridMultilevel"/>
    <w:tmpl w:val="DE46D23C"/>
    <w:lvl w:ilvl="0" w:tplc="BBAC4A2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1392578034">
    <w:abstractNumId w:val="28"/>
  </w:num>
  <w:num w:numId="2" w16cid:durableId="1840079516">
    <w:abstractNumId w:val="18"/>
  </w:num>
  <w:num w:numId="3" w16cid:durableId="645670527">
    <w:abstractNumId w:val="13"/>
  </w:num>
  <w:num w:numId="4" w16cid:durableId="1651245798">
    <w:abstractNumId w:val="8"/>
  </w:num>
  <w:num w:numId="5" w16cid:durableId="1373962496">
    <w:abstractNumId w:val="3"/>
  </w:num>
  <w:num w:numId="6" w16cid:durableId="148251990">
    <w:abstractNumId w:val="2"/>
  </w:num>
  <w:num w:numId="7" w16cid:durableId="137849021">
    <w:abstractNumId w:val="1"/>
  </w:num>
  <w:num w:numId="8" w16cid:durableId="771971942">
    <w:abstractNumId w:val="0"/>
  </w:num>
  <w:num w:numId="9" w16cid:durableId="1421020139">
    <w:abstractNumId w:val="9"/>
  </w:num>
  <w:num w:numId="10" w16cid:durableId="1822379424">
    <w:abstractNumId w:val="7"/>
  </w:num>
  <w:num w:numId="11" w16cid:durableId="163936332">
    <w:abstractNumId w:val="6"/>
  </w:num>
  <w:num w:numId="12" w16cid:durableId="2061783146">
    <w:abstractNumId w:val="5"/>
  </w:num>
  <w:num w:numId="13" w16cid:durableId="444815285">
    <w:abstractNumId w:val="4"/>
  </w:num>
  <w:num w:numId="14" w16cid:durableId="1446584738">
    <w:abstractNumId w:val="28"/>
  </w:num>
  <w:num w:numId="15" w16cid:durableId="102968138">
    <w:abstractNumId w:val="18"/>
  </w:num>
  <w:num w:numId="16" w16cid:durableId="1033578525">
    <w:abstractNumId w:val="13"/>
  </w:num>
  <w:num w:numId="17" w16cid:durableId="2129472545">
    <w:abstractNumId w:val="14"/>
  </w:num>
  <w:num w:numId="18" w16cid:durableId="84770542">
    <w:abstractNumId w:val="26"/>
  </w:num>
  <w:num w:numId="19" w16cid:durableId="1504663782">
    <w:abstractNumId w:val="29"/>
  </w:num>
  <w:num w:numId="20" w16cid:durableId="1022823744">
    <w:abstractNumId w:val="20"/>
  </w:num>
  <w:num w:numId="21" w16cid:durableId="1532067061">
    <w:abstractNumId w:val="33"/>
  </w:num>
  <w:num w:numId="22" w16cid:durableId="1644117888">
    <w:abstractNumId w:val="34"/>
  </w:num>
  <w:num w:numId="23" w16cid:durableId="1191407454">
    <w:abstractNumId w:val="24"/>
  </w:num>
  <w:num w:numId="24" w16cid:durableId="953369868">
    <w:abstractNumId w:val="21"/>
  </w:num>
  <w:num w:numId="25" w16cid:durableId="1967931060">
    <w:abstractNumId w:val="17"/>
  </w:num>
  <w:num w:numId="26" w16cid:durableId="293412539">
    <w:abstractNumId w:val="25"/>
  </w:num>
  <w:num w:numId="27" w16cid:durableId="778060956">
    <w:abstractNumId w:val="16"/>
  </w:num>
  <w:num w:numId="28" w16cid:durableId="1440028577">
    <w:abstractNumId w:val="27"/>
  </w:num>
  <w:num w:numId="29" w16cid:durableId="20959284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544880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5074369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40206441">
    <w:abstractNumId w:val="10"/>
  </w:num>
  <w:num w:numId="33" w16cid:durableId="2038699626">
    <w:abstractNumId w:val="22"/>
  </w:num>
  <w:num w:numId="34" w16cid:durableId="127237358">
    <w:abstractNumId w:val="30"/>
  </w:num>
  <w:num w:numId="35" w16cid:durableId="507867104">
    <w:abstractNumId w:val="12"/>
  </w:num>
  <w:num w:numId="36" w16cid:durableId="1854341798">
    <w:abstractNumId w:val="19"/>
  </w:num>
  <w:num w:numId="37" w16cid:durableId="1972469707">
    <w:abstractNumId w:val="32"/>
  </w:num>
  <w:num w:numId="38" w16cid:durableId="948967953">
    <w:abstractNumId w:val="23"/>
  </w:num>
  <w:num w:numId="39" w16cid:durableId="99765802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evenAndOddHeaders/>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3D0"/>
    <w:rsid w:val="00005EB4"/>
    <w:rsid w:val="00010461"/>
    <w:rsid w:val="0001308B"/>
    <w:rsid w:val="000262C6"/>
    <w:rsid w:val="000336A3"/>
    <w:rsid w:val="00037793"/>
    <w:rsid w:val="00040633"/>
    <w:rsid w:val="00051910"/>
    <w:rsid w:val="0006158A"/>
    <w:rsid w:val="00067084"/>
    <w:rsid w:val="000677B8"/>
    <w:rsid w:val="00071F3F"/>
    <w:rsid w:val="00080D3D"/>
    <w:rsid w:val="0008136D"/>
    <w:rsid w:val="00085EB7"/>
    <w:rsid w:val="00093EE6"/>
    <w:rsid w:val="000A3E7B"/>
    <w:rsid w:val="000A77B9"/>
    <w:rsid w:val="000B287C"/>
    <w:rsid w:val="000C3490"/>
    <w:rsid w:val="000C3C6D"/>
    <w:rsid w:val="000D463C"/>
    <w:rsid w:val="000D5A15"/>
    <w:rsid w:val="000D675E"/>
    <w:rsid w:val="000E3DC7"/>
    <w:rsid w:val="000E7BE1"/>
    <w:rsid w:val="000F5DD5"/>
    <w:rsid w:val="000F7FA9"/>
    <w:rsid w:val="00100763"/>
    <w:rsid w:val="00101078"/>
    <w:rsid w:val="001077D9"/>
    <w:rsid w:val="001139FB"/>
    <w:rsid w:val="001179CA"/>
    <w:rsid w:val="0012478E"/>
    <w:rsid w:val="001304E9"/>
    <w:rsid w:val="001533A3"/>
    <w:rsid w:val="00155965"/>
    <w:rsid w:val="00162B5A"/>
    <w:rsid w:val="00165C57"/>
    <w:rsid w:val="00170F3A"/>
    <w:rsid w:val="00171947"/>
    <w:rsid w:val="00171A62"/>
    <w:rsid w:val="00182B67"/>
    <w:rsid w:val="0018429F"/>
    <w:rsid w:val="001845BB"/>
    <w:rsid w:val="00186034"/>
    <w:rsid w:val="00192C1A"/>
    <w:rsid w:val="00194F87"/>
    <w:rsid w:val="00197836"/>
    <w:rsid w:val="001A1492"/>
    <w:rsid w:val="001B0552"/>
    <w:rsid w:val="001B7F25"/>
    <w:rsid w:val="001C6C70"/>
    <w:rsid w:val="001C7871"/>
    <w:rsid w:val="001D1493"/>
    <w:rsid w:val="001D19BB"/>
    <w:rsid w:val="001D6041"/>
    <w:rsid w:val="001E7C7A"/>
    <w:rsid w:val="002078C5"/>
    <w:rsid w:val="002141CB"/>
    <w:rsid w:val="00227A35"/>
    <w:rsid w:val="0023600A"/>
    <w:rsid w:val="00257F7F"/>
    <w:rsid w:val="0026576A"/>
    <w:rsid w:val="00266708"/>
    <w:rsid w:val="00267BE4"/>
    <w:rsid w:val="002707C1"/>
    <w:rsid w:val="0027155C"/>
    <w:rsid w:val="00272D6A"/>
    <w:rsid w:val="00290BB5"/>
    <w:rsid w:val="002B7E4C"/>
    <w:rsid w:val="002C4FF9"/>
    <w:rsid w:val="002D1623"/>
    <w:rsid w:val="002E463E"/>
    <w:rsid w:val="00301B1A"/>
    <w:rsid w:val="00302793"/>
    <w:rsid w:val="00320BD3"/>
    <w:rsid w:val="0032511B"/>
    <w:rsid w:val="00340D0F"/>
    <w:rsid w:val="00360735"/>
    <w:rsid w:val="00361451"/>
    <w:rsid w:val="003623C2"/>
    <w:rsid w:val="003708B6"/>
    <w:rsid w:val="00370ACC"/>
    <w:rsid w:val="003A1D95"/>
    <w:rsid w:val="003A4CC9"/>
    <w:rsid w:val="003A6C5A"/>
    <w:rsid w:val="003B2548"/>
    <w:rsid w:val="003B76CD"/>
    <w:rsid w:val="003C1C6D"/>
    <w:rsid w:val="003C210D"/>
    <w:rsid w:val="003C622A"/>
    <w:rsid w:val="003D1AB4"/>
    <w:rsid w:val="003D2917"/>
    <w:rsid w:val="003E3FF6"/>
    <w:rsid w:val="003E51AD"/>
    <w:rsid w:val="003F2435"/>
    <w:rsid w:val="003F3A74"/>
    <w:rsid w:val="004022F0"/>
    <w:rsid w:val="00402C98"/>
    <w:rsid w:val="0041331B"/>
    <w:rsid w:val="00415E63"/>
    <w:rsid w:val="00420CC4"/>
    <w:rsid w:val="00447C64"/>
    <w:rsid w:val="0046010D"/>
    <w:rsid w:val="00461848"/>
    <w:rsid w:val="00461F1E"/>
    <w:rsid w:val="00463BF2"/>
    <w:rsid w:val="0047651B"/>
    <w:rsid w:val="004811AB"/>
    <w:rsid w:val="0048238D"/>
    <w:rsid w:val="00484EB7"/>
    <w:rsid w:val="004858CE"/>
    <w:rsid w:val="00486E15"/>
    <w:rsid w:val="00487871"/>
    <w:rsid w:val="00491C85"/>
    <w:rsid w:val="004969DA"/>
    <w:rsid w:val="004A6168"/>
    <w:rsid w:val="004A68B0"/>
    <w:rsid w:val="004B56C3"/>
    <w:rsid w:val="004C686A"/>
    <w:rsid w:val="004C6F85"/>
    <w:rsid w:val="004D764B"/>
    <w:rsid w:val="004E1019"/>
    <w:rsid w:val="004E3B68"/>
    <w:rsid w:val="004F23B8"/>
    <w:rsid w:val="005043D0"/>
    <w:rsid w:val="00507A03"/>
    <w:rsid w:val="00507DAF"/>
    <w:rsid w:val="00514B0C"/>
    <w:rsid w:val="005176F0"/>
    <w:rsid w:val="005248AD"/>
    <w:rsid w:val="00525291"/>
    <w:rsid w:val="00525563"/>
    <w:rsid w:val="00525A4B"/>
    <w:rsid w:val="005476D8"/>
    <w:rsid w:val="00547E16"/>
    <w:rsid w:val="005526D8"/>
    <w:rsid w:val="00553C2F"/>
    <w:rsid w:val="0056361F"/>
    <w:rsid w:val="005657B9"/>
    <w:rsid w:val="0056670F"/>
    <w:rsid w:val="00571422"/>
    <w:rsid w:val="0057404C"/>
    <w:rsid w:val="005772EE"/>
    <w:rsid w:val="00584AA8"/>
    <w:rsid w:val="00587298"/>
    <w:rsid w:val="005959DD"/>
    <w:rsid w:val="005A0B6E"/>
    <w:rsid w:val="005A1F04"/>
    <w:rsid w:val="005B6687"/>
    <w:rsid w:val="005C2614"/>
    <w:rsid w:val="005C77E0"/>
    <w:rsid w:val="005D2E96"/>
    <w:rsid w:val="005E3912"/>
    <w:rsid w:val="005E7189"/>
    <w:rsid w:val="005F558B"/>
    <w:rsid w:val="0060510C"/>
    <w:rsid w:val="00611D05"/>
    <w:rsid w:val="00614B61"/>
    <w:rsid w:val="00614BA5"/>
    <w:rsid w:val="0061500E"/>
    <w:rsid w:val="00615A94"/>
    <w:rsid w:val="00622DD2"/>
    <w:rsid w:val="006244B8"/>
    <w:rsid w:val="006256DB"/>
    <w:rsid w:val="0063141C"/>
    <w:rsid w:val="00632EE4"/>
    <w:rsid w:val="00633BF9"/>
    <w:rsid w:val="006352A3"/>
    <w:rsid w:val="0064016F"/>
    <w:rsid w:val="00661C07"/>
    <w:rsid w:val="0067135B"/>
    <w:rsid w:val="00682F34"/>
    <w:rsid w:val="0068410B"/>
    <w:rsid w:val="006938F7"/>
    <w:rsid w:val="006A26F5"/>
    <w:rsid w:val="006C0AFD"/>
    <w:rsid w:val="006C3721"/>
    <w:rsid w:val="006C6D43"/>
    <w:rsid w:val="006D12D6"/>
    <w:rsid w:val="006D2B8C"/>
    <w:rsid w:val="006E6353"/>
    <w:rsid w:val="006F6708"/>
    <w:rsid w:val="006F77EA"/>
    <w:rsid w:val="00702231"/>
    <w:rsid w:val="00705110"/>
    <w:rsid w:val="00713A0A"/>
    <w:rsid w:val="00716DF9"/>
    <w:rsid w:val="007236BE"/>
    <w:rsid w:val="00723F8E"/>
    <w:rsid w:val="007248B1"/>
    <w:rsid w:val="00730AB7"/>
    <w:rsid w:val="007318DD"/>
    <w:rsid w:val="00737E38"/>
    <w:rsid w:val="00740EB3"/>
    <w:rsid w:val="007507A6"/>
    <w:rsid w:val="007522A1"/>
    <w:rsid w:val="00753B34"/>
    <w:rsid w:val="00761DB2"/>
    <w:rsid w:val="00767534"/>
    <w:rsid w:val="00772CA3"/>
    <w:rsid w:val="00780DF7"/>
    <w:rsid w:val="00786992"/>
    <w:rsid w:val="0079320E"/>
    <w:rsid w:val="00797691"/>
    <w:rsid w:val="007A217D"/>
    <w:rsid w:val="007A43F1"/>
    <w:rsid w:val="007B210B"/>
    <w:rsid w:val="007C57E6"/>
    <w:rsid w:val="007D35F6"/>
    <w:rsid w:val="007E0421"/>
    <w:rsid w:val="007E0741"/>
    <w:rsid w:val="007E1062"/>
    <w:rsid w:val="0081617A"/>
    <w:rsid w:val="00817A34"/>
    <w:rsid w:val="008216D2"/>
    <w:rsid w:val="00821CCE"/>
    <w:rsid w:val="00834E31"/>
    <w:rsid w:val="008360A8"/>
    <w:rsid w:val="008460F4"/>
    <w:rsid w:val="00847598"/>
    <w:rsid w:val="00850084"/>
    <w:rsid w:val="008506F8"/>
    <w:rsid w:val="008522E2"/>
    <w:rsid w:val="0085458F"/>
    <w:rsid w:val="008607B2"/>
    <w:rsid w:val="00860B65"/>
    <w:rsid w:val="00866BC8"/>
    <w:rsid w:val="008729B6"/>
    <w:rsid w:val="008757CD"/>
    <w:rsid w:val="00877328"/>
    <w:rsid w:val="00882053"/>
    <w:rsid w:val="0089295D"/>
    <w:rsid w:val="00893726"/>
    <w:rsid w:val="00894547"/>
    <w:rsid w:val="00897F5C"/>
    <w:rsid w:val="008A0B17"/>
    <w:rsid w:val="008B2E7D"/>
    <w:rsid w:val="008C13A6"/>
    <w:rsid w:val="008D51A6"/>
    <w:rsid w:val="008D6DAF"/>
    <w:rsid w:val="008E563A"/>
    <w:rsid w:val="008E59C3"/>
    <w:rsid w:val="008E6C1A"/>
    <w:rsid w:val="008F25E2"/>
    <w:rsid w:val="008F6EFA"/>
    <w:rsid w:val="00913587"/>
    <w:rsid w:val="0092017D"/>
    <w:rsid w:val="00933E6A"/>
    <w:rsid w:val="00961CBF"/>
    <w:rsid w:val="00976EF9"/>
    <w:rsid w:val="00980772"/>
    <w:rsid w:val="009A1D9C"/>
    <w:rsid w:val="009A7140"/>
    <w:rsid w:val="009B2294"/>
    <w:rsid w:val="009B558F"/>
    <w:rsid w:val="009C1666"/>
    <w:rsid w:val="009D4964"/>
    <w:rsid w:val="009D6B88"/>
    <w:rsid w:val="009D7AFA"/>
    <w:rsid w:val="009E7841"/>
    <w:rsid w:val="009F3081"/>
    <w:rsid w:val="009F4C73"/>
    <w:rsid w:val="00A01ADB"/>
    <w:rsid w:val="00A02B34"/>
    <w:rsid w:val="00A02C7C"/>
    <w:rsid w:val="00A0491A"/>
    <w:rsid w:val="00A27520"/>
    <w:rsid w:val="00A331F6"/>
    <w:rsid w:val="00A35B95"/>
    <w:rsid w:val="00A45037"/>
    <w:rsid w:val="00A54FBB"/>
    <w:rsid w:val="00A61167"/>
    <w:rsid w:val="00A63F48"/>
    <w:rsid w:val="00A91196"/>
    <w:rsid w:val="00A9267E"/>
    <w:rsid w:val="00AA057B"/>
    <w:rsid w:val="00AA206E"/>
    <w:rsid w:val="00AB261D"/>
    <w:rsid w:val="00AB5CCA"/>
    <w:rsid w:val="00AB645A"/>
    <w:rsid w:val="00AC1BDA"/>
    <w:rsid w:val="00AD5EDF"/>
    <w:rsid w:val="00AE09F3"/>
    <w:rsid w:val="00AE50D7"/>
    <w:rsid w:val="00AE7C2D"/>
    <w:rsid w:val="00AF5B39"/>
    <w:rsid w:val="00AF7578"/>
    <w:rsid w:val="00AF7EF0"/>
    <w:rsid w:val="00B015A1"/>
    <w:rsid w:val="00B03866"/>
    <w:rsid w:val="00B07D05"/>
    <w:rsid w:val="00B16D80"/>
    <w:rsid w:val="00B213CE"/>
    <w:rsid w:val="00B33C57"/>
    <w:rsid w:val="00B4388B"/>
    <w:rsid w:val="00B439AE"/>
    <w:rsid w:val="00B51CD8"/>
    <w:rsid w:val="00B57209"/>
    <w:rsid w:val="00B76393"/>
    <w:rsid w:val="00B90376"/>
    <w:rsid w:val="00BA337E"/>
    <w:rsid w:val="00BA76A9"/>
    <w:rsid w:val="00BB193E"/>
    <w:rsid w:val="00BD60C7"/>
    <w:rsid w:val="00BE4008"/>
    <w:rsid w:val="00BE546D"/>
    <w:rsid w:val="00BF19AE"/>
    <w:rsid w:val="00BF4DD6"/>
    <w:rsid w:val="00BF5362"/>
    <w:rsid w:val="00BF5D06"/>
    <w:rsid w:val="00C05742"/>
    <w:rsid w:val="00C16C99"/>
    <w:rsid w:val="00C17313"/>
    <w:rsid w:val="00C214E6"/>
    <w:rsid w:val="00C25710"/>
    <w:rsid w:val="00C44ECB"/>
    <w:rsid w:val="00C45F7F"/>
    <w:rsid w:val="00C50B59"/>
    <w:rsid w:val="00C53963"/>
    <w:rsid w:val="00C5568F"/>
    <w:rsid w:val="00C55ECE"/>
    <w:rsid w:val="00C66EA5"/>
    <w:rsid w:val="00C73B05"/>
    <w:rsid w:val="00C774EA"/>
    <w:rsid w:val="00C8672E"/>
    <w:rsid w:val="00CA3141"/>
    <w:rsid w:val="00CA595A"/>
    <w:rsid w:val="00CB239C"/>
    <w:rsid w:val="00CB7A58"/>
    <w:rsid w:val="00CC475A"/>
    <w:rsid w:val="00CE2254"/>
    <w:rsid w:val="00CE2668"/>
    <w:rsid w:val="00CE6456"/>
    <w:rsid w:val="00CE7BFE"/>
    <w:rsid w:val="00CF0469"/>
    <w:rsid w:val="00CF276A"/>
    <w:rsid w:val="00D054C7"/>
    <w:rsid w:val="00D13002"/>
    <w:rsid w:val="00D14884"/>
    <w:rsid w:val="00D42B5C"/>
    <w:rsid w:val="00D47782"/>
    <w:rsid w:val="00D60EC9"/>
    <w:rsid w:val="00D612D1"/>
    <w:rsid w:val="00D64769"/>
    <w:rsid w:val="00D66E9A"/>
    <w:rsid w:val="00DA5B3F"/>
    <w:rsid w:val="00DB7DB2"/>
    <w:rsid w:val="00DC2EC9"/>
    <w:rsid w:val="00DD6376"/>
    <w:rsid w:val="00DE7662"/>
    <w:rsid w:val="00E03152"/>
    <w:rsid w:val="00E14162"/>
    <w:rsid w:val="00E16823"/>
    <w:rsid w:val="00E32CCC"/>
    <w:rsid w:val="00E56839"/>
    <w:rsid w:val="00E60EDF"/>
    <w:rsid w:val="00E67767"/>
    <w:rsid w:val="00E67929"/>
    <w:rsid w:val="00E71FC8"/>
    <w:rsid w:val="00E818AE"/>
    <w:rsid w:val="00E82B4F"/>
    <w:rsid w:val="00E835D4"/>
    <w:rsid w:val="00EA12BC"/>
    <w:rsid w:val="00EA61C6"/>
    <w:rsid w:val="00EB23E1"/>
    <w:rsid w:val="00EB32E9"/>
    <w:rsid w:val="00EB513A"/>
    <w:rsid w:val="00EC2218"/>
    <w:rsid w:val="00EC42C0"/>
    <w:rsid w:val="00EC47B1"/>
    <w:rsid w:val="00EC6A65"/>
    <w:rsid w:val="00ED6194"/>
    <w:rsid w:val="00EE4155"/>
    <w:rsid w:val="00EF2E50"/>
    <w:rsid w:val="00EF5B5C"/>
    <w:rsid w:val="00EF6D6D"/>
    <w:rsid w:val="00F022D3"/>
    <w:rsid w:val="00F20951"/>
    <w:rsid w:val="00F22666"/>
    <w:rsid w:val="00F3248E"/>
    <w:rsid w:val="00F41C68"/>
    <w:rsid w:val="00F5789A"/>
    <w:rsid w:val="00F723C9"/>
    <w:rsid w:val="00F93ADD"/>
    <w:rsid w:val="00F96814"/>
    <w:rsid w:val="00FA4081"/>
    <w:rsid w:val="00FA4D26"/>
    <w:rsid w:val="00FA766E"/>
    <w:rsid w:val="00FB0985"/>
    <w:rsid w:val="00FE6E6D"/>
    <w:rsid w:val="00FF0325"/>
    <w:rsid w:val="00FF0694"/>
    <w:rsid w:val="00FF0DE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D54FB"/>
  <w15:docId w15:val="{531B4183-5ECE-4E1D-A48A-4432E0FC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rPr>
  </w:style>
  <w:style w:type="paragraph" w:styleId="Titre1">
    <w:name w:val="heading 1"/>
    <w:aliases w:val="Table_G"/>
    <w:basedOn w:val="SingleTxtG"/>
    <w:next w:val="SingleTxtG"/>
    <w:link w:val="Titre1Car"/>
    <w:qFormat/>
    <w:pPr>
      <w:keepNext/>
      <w:keepLines/>
      <w:spacing w:after="0" w:line="240" w:lineRule="auto"/>
      <w:ind w:right="0"/>
      <w:jc w:val="left"/>
      <w:outlineLvl w:val="0"/>
    </w:pPr>
  </w:style>
  <w:style w:type="paragraph" w:styleId="Titre2">
    <w:name w:val="heading 2"/>
    <w:basedOn w:val="Normal"/>
    <w:next w:val="Normal"/>
    <w:link w:val="Titre2Car"/>
    <w:semiHidden/>
    <w:qFormat/>
    <w:pPr>
      <w:outlineLvl w:val="1"/>
    </w:pPr>
  </w:style>
  <w:style w:type="paragraph" w:styleId="Titre3">
    <w:name w:val="heading 3"/>
    <w:basedOn w:val="Normal"/>
    <w:next w:val="Normal"/>
    <w:link w:val="Titre3Car"/>
    <w:semiHidden/>
    <w:qFormat/>
    <w:pPr>
      <w:outlineLvl w:val="2"/>
    </w:pPr>
  </w:style>
  <w:style w:type="paragraph" w:styleId="Titre4">
    <w:name w:val="heading 4"/>
    <w:basedOn w:val="Normal"/>
    <w:next w:val="Normal"/>
    <w:link w:val="Titre4Car"/>
    <w:semiHidden/>
    <w:qFormat/>
    <w:pPr>
      <w:outlineLvl w:val="3"/>
    </w:pPr>
  </w:style>
  <w:style w:type="paragraph" w:styleId="Titre5">
    <w:name w:val="heading 5"/>
    <w:basedOn w:val="Normal"/>
    <w:next w:val="Normal"/>
    <w:link w:val="Titre5Car"/>
    <w:semiHidden/>
    <w:qFormat/>
    <w:pPr>
      <w:outlineLvl w:val="4"/>
    </w:pPr>
  </w:style>
  <w:style w:type="paragraph" w:styleId="Titre6">
    <w:name w:val="heading 6"/>
    <w:basedOn w:val="Normal"/>
    <w:next w:val="Normal"/>
    <w:link w:val="Titre6Car"/>
    <w:semiHidden/>
    <w:qFormat/>
    <w:pPr>
      <w:outlineLvl w:val="5"/>
    </w:pPr>
  </w:style>
  <w:style w:type="paragraph" w:styleId="Titre7">
    <w:name w:val="heading 7"/>
    <w:basedOn w:val="Normal"/>
    <w:next w:val="Normal"/>
    <w:link w:val="Titre7Car"/>
    <w:semiHidden/>
    <w:qFormat/>
    <w:pPr>
      <w:outlineLvl w:val="6"/>
    </w:pPr>
  </w:style>
  <w:style w:type="paragraph" w:styleId="Titre8">
    <w:name w:val="heading 8"/>
    <w:basedOn w:val="Normal"/>
    <w:next w:val="Normal"/>
    <w:link w:val="Titre8Car"/>
    <w:semiHidden/>
    <w:qFormat/>
    <w:pPr>
      <w:outlineLvl w:val="7"/>
    </w:pPr>
  </w:style>
  <w:style w:type="paragraph" w:styleId="Titre9">
    <w:name w:val="heading 9"/>
    <w:basedOn w:val="Normal"/>
    <w:next w:val="Normal"/>
    <w:link w:val="Titre9Car"/>
    <w:semiHidden/>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pPr>
      <w:pBdr>
        <w:bottom w:val="single" w:sz="4" w:space="4" w:color="auto"/>
      </w:pBdr>
      <w:spacing w:line="240" w:lineRule="auto"/>
    </w:pPr>
    <w:rPr>
      <w:b/>
      <w:sz w:val="18"/>
    </w:rPr>
  </w:style>
  <w:style w:type="character" w:customStyle="1" w:styleId="En-tteCar">
    <w:name w:val="En-tête Car"/>
    <w:aliases w:val="6_G Car"/>
    <w:basedOn w:val="Policepardfaut"/>
    <w:link w:val="En-tte"/>
    <w:rPr>
      <w:rFonts w:ascii="Times New Roman" w:hAnsi="Times New Roman" w:cs="Times New Roman"/>
      <w:b/>
      <w:sz w:val="18"/>
      <w:szCs w:val="20"/>
    </w:rPr>
  </w:style>
  <w:style w:type="paragraph" w:styleId="Pieddepage">
    <w:name w:val="footer"/>
    <w:aliases w:val="3_G"/>
    <w:basedOn w:val="Normal"/>
    <w:next w:val="Normal"/>
    <w:link w:val="PieddepageCar"/>
    <w:qFormat/>
    <w:pPr>
      <w:spacing w:line="240" w:lineRule="auto"/>
    </w:pPr>
    <w:rPr>
      <w:sz w:val="16"/>
    </w:rPr>
  </w:style>
  <w:style w:type="character" w:customStyle="1" w:styleId="PieddepageCar">
    <w:name w:val="Pied de page Car"/>
    <w:aliases w:val="3_G Car"/>
    <w:basedOn w:val="Policepardfaut"/>
    <w:link w:val="Pieddepage"/>
    <w:rPr>
      <w:rFonts w:ascii="Times New Roman" w:hAnsi="Times New Roman" w:cs="Times New Roman"/>
      <w:sz w:val="16"/>
      <w:szCs w:val="20"/>
    </w:rPr>
  </w:style>
  <w:style w:type="paragraph" w:customStyle="1" w:styleId="HMG">
    <w:name w:val="_ H __M_G"/>
    <w:basedOn w:val="Normal"/>
    <w:next w:val="Normal"/>
    <w:qFormat/>
    <w:rsid w:val="00BD60C7"/>
    <w:pPr>
      <w:keepNext/>
      <w:keepLines/>
      <w:tabs>
        <w:tab w:val="right" w:pos="851"/>
      </w:tabs>
      <w:spacing w:before="240" w:after="240" w:line="360" w:lineRule="exact"/>
      <w:ind w:left="1134" w:right="1134" w:hanging="1134"/>
      <w:outlineLvl w:val="0"/>
    </w:pPr>
    <w:rPr>
      <w:rFonts w:eastAsiaTheme="minorEastAsia"/>
      <w:b/>
      <w:sz w:val="34"/>
      <w:lang w:eastAsia="zh-CN"/>
    </w:rPr>
  </w:style>
  <w:style w:type="paragraph" w:customStyle="1" w:styleId="HChG">
    <w:name w:val="_ H _Ch_G"/>
    <w:basedOn w:val="Normal"/>
    <w:next w:val="Normal"/>
    <w:link w:val="HChGChar"/>
    <w:qFormat/>
    <w:rsid w:val="00BD60C7"/>
    <w:pPr>
      <w:keepNext/>
      <w:keepLines/>
      <w:tabs>
        <w:tab w:val="right" w:pos="851"/>
      </w:tabs>
      <w:spacing w:before="360" w:after="240" w:line="300" w:lineRule="exact"/>
      <w:ind w:left="1134" w:right="1134" w:hanging="1134"/>
      <w:outlineLvl w:val="1"/>
    </w:pPr>
    <w:rPr>
      <w:rFonts w:eastAsiaTheme="minorEastAsia"/>
      <w:b/>
      <w:sz w:val="28"/>
      <w:lang w:eastAsia="zh-CN"/>
    </w:rPr>
  </w:style>
  <w:style w:type="paragraph" w:customStyle="1" w:styleId="H1G">
    <w:name w:val="_ H_1_G"/>
    <w:basedOn w:val="Normal"/>
    <w:next w:val="Normal"/>
    <w:link w:val="H1GChar"/>
    <w:qFormat/>
    <w:rsid w:val="00BD60C7"/>
    <w:pPr>
      <w:keepNext/>
      <w:keepLines/>
      <w:tabs>
        <w:tab w:val="right" w:pos="851"/>
      </w:tabs>
      <w:spacing w:before="360" w:after="240" w:line="270" w:lineRule="exact"/>
      <w:ind w:left="1134" w:right="1134" w:hanging="1134"/>
      <w:outlineLvl w:val="2"/>
    </w:pPr>
    <w:rPr>
      <w:rFonts w:eastAsiaTheme="minorEastAsia"/>
      <w:b/>
      <w:sz w:val="24"/>
      <w:lang w:eastAsia="zh-CN"/>
    </w:rPr>
  </w:style>
  <w:style w:type="paragraph" w:customStyle="1" w:styleId="H23G">
    <w:name w:val="_ H_2/3_G"/>
    <w:basedOn w:val="Normal"/>
    <w:next w:val="Normal"/>
    <w:link w:val="H23GChar"/>
    <w:qFormat/>
    <w:rsid w:val="00AB261D"/>
    <w:pPr>
      <w:keepNext/>
      <w:keepLines/>
      <w:tabs>
        <w:tab w:val="left" w:pos="720"/>
        <w:tab w:val="right" w:pos="851"/>
      </w:tabs>
      <w:spacing w:before="240" w:after="120" w:line="240" w:lineRule="exact"/>
      <w:ind w:right="1134"/>
      <w:outlineLvl w:val="3"/>
    </w:pPr>
    <w:rPr>
      <w:rFonts w:eastAsiaTheme="minorEastAsia"/>
      <w:b/>
      <w:lang w:val="fr-FR" w:eastAsia="zh-CN"/>
    </w:rPr>
  </w:style>
  <w:style w:type="paragraph" w:customStyle="1" w:styleId="H4G">
    <w:name w:val="_ H_4_G"/>
    <w:basedOn w:val="Normal"/>
    <w:next w:val="Normal"/>
    <w:qFormat/>
    <w:rsid w:val="00BD60C7"/>
    <w:pPr>
      <w:keepNext/>
      <w:keepLines/>
      <w:tabs>
        <w:tab w:val="right" w:pos="851"/>
      </w:tabs>
      <w:spacing w:before="240" w:after="120" w:line="240" w:lineRule="exact"/>
      <w:ind w:left="1134" w:right="1134" w:hanging="1134"/>
      <w:outlineLvl w:val="4"/>
    </w:pPr>
    <w:rPr>
      <w:rFonts w:eastAsiaTheme="minorEastAsia"/>
      <w:i/>
      <w:lang w:eastAsia="zh-CN"/>
    </w:rPr>
  </w:style>
  <w:style w:type="paragraph" w:customStyle="1" w:styleId="H56G">
    <w:name w:val="_ H_5/6_G"/>
    <w:basedOn w:val="Normal"/>
    <w:next w:val="Normal"/>
    <w:qFormat/>
    <w:rsid w:val="00BD60C7"/>
    <w:pPr>
      <w:keepNext/>
      <w:keepLines/>
      <w:tabs>
        <w:tab w:val="right" w:pos="851"/>
      </w:tabs>
      <w:spacing w:before="240" w:after="120" w:line="240" w:lineRule="exact"/>
      <w:ind w:left="1134" w:right="1134" w:hanging="1134"/>
      <w:outlineLvl w:val="5"/>
    </w:pPr>
    <w:rPr>
      <w:rFonts w:eastAsiaTheme="minorEastAsia"/>
      <w:lang w:eastAsia="zh-CN"/>
    </w:rPr>
  </w:style>
  <w:style w:type="paragraph" w:customStyle="1" w:styleId="SingleTxtG">
    <w:name w:val="_ Single Txt_G"/>
    <w:basedOn w:val="Normal"/>
    <w:link w:val="SingleTxtGChar"/>
    <w:qFormat/>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14"/>
      </w:numPr>
      <w:spacing w:after="120"/>
      <w:ind w:right="1134"/>
      <w:jc w:val="both"/>
    </w:pPr>
  </w:style>
  <w:style w:type="paragraph" w:customStyle="1" w:styleId="Bullet2G">
    <w:name w:val="_Bullet 2_G"/>
    <w:basedOn w:val="Normal"/>
    <w:qFormat/>
    <w:pPr>
      <w:numPr>
        <w:numId w:val="15"/>
      </w:numPr>
      <w:spacing w:after="120"/>
      <w:ind w:right="1134"/>
      <w:jc w:val="both"/>
    </w:pPr>
  </w:style>
  <w:style w:type="paragraph" w:customStyle="1" w:styleId="ParNoG">
    <w:name w:val="_ParNo_G"/>
    <w:basedOn w:val="Normal"/>
    <w:qFormat/>
    <w:pPr>
      <w:numPr>
        <w:numId w:val="16"/>
      </w:numPr>
      <w:tabs>
        <w:tab w:val="clear" w:pos="1701"/>
      </w:tabs>
      <w:spacing w:after="120"/>
      <w:ind w:right="1134"/>
      <w:jc w:val="both"/>
    </w:pPr>
  </w:style>
  <w:style w:type="character" w:styleId="Appelnotedebasdep">
    <w:name w:val="footnote reference"/>
    <w:aliases w:val="4_G"/>
    <w:basedOn w:val="Policepardfaut"/>
    <w:qFormat/>
    <w:rPr>
      <w:rFonts w:ascii="Times New Roman" w:hAnsi="Times New Roman"/>
      <w:sz w:val="18"/>
      <w:vertAlign w:val="superscript"/>
      <w:lang w:val="fr-CH"/>
    </w:rPr>
  </w:style>
  <w:style w:type="character" w:styleId="Appeldenotedefin">
    <w:name w:val="endnote reference"/>
    <w:aliases w:val="1_G"/>
    <w:basedOn w:val="Appelnotedebasdep"/>
    <w:qFormat/>
    <w:rPr>
      <w:rFonts w:ascii="Times New Roman" w:hAnsi="Times New Roman"/>
      <w:sz w:val="18"/>
      <w:vertAlign w:val="superscript"/>
      <w:lang w:val="fr-CH"/>
    </w:rPr>
  </w:style>
  <w:style w:type="table" w:styleId="Grilledutableau">
    <w:name w:val="Table Grid"/>
    <w:basedOn w:val="TableauNormal"/>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Pr>
      <w:color w:val="0000FF"/>
      <w:u w:val="none"/>
    </w:rPr>
  </w:style>
  <w:style w:type="character" w:styleId="Lienhypertextesuivivisit">
    <w:name w:val="FollowedHyperlink"/>
    <w:basedOn w:val="Policepardfaut"/>
    <w:unhideWhenUsed/>
    <w:rPr>
      <w:color w:val="0000FF"/>
      <w:u w:val="none"/>
    </w:rPr>
  </w:style>
  <w:style w:type="paragraph" w:styleId="Notedebasdepage">
    <w:name w:val="footnote text"/>
    <w:aliases w:val="5_G"/>
    <w:basedOn w:val="Normal"/>
    <w:link w:val="NotedebasdepageCar"/>
    <w:qFormat/>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Pr>
      <w:rFonts w:ascii="Times New Roman" w:hAnsi="Times New Roman" w:cs="Times New Roman"/>
      <w:sz w:val="18"/>
      <w:szCs w:val="20"/>
    </w:rPr>
  </w:style>
  <w:style w:type="paragraph" w:styleId="Notedefin">
    <w:name w:val="endnote text"/>
    <w:aliases w:val="2_G"/>
    <w:basedOn w:val="Notedebasdepage"/>
    <w:link w:val="NotedefinCar"/>
    <w:qFormat/>
  </w:style>
  <w:style w:type="character" w:customStyle="1" w:styleId="NotedefinCar">
    <w:name w:val="Note de fin Car"/>
    <w:aliases w:val="2_G Car"/>
    <w:basedOn w:val="Policepardfaut"/>
    <w:link w:val="Notedefin"/>
    <w:rPr>
      <w:rFonts w:ascii="Times New Roman" w:hAnsi="Times New Roman" w:cs="Times New Roman"/>
      <w:sz w:val="18"/>
      <w:szCs w:val="20"/>
    </w:rPr>
  </w:style>
  <w:style w:type="character" w:styleId="Numrodepage">
    <w:name w:val="page number"/>
    <w:aliases w:val="7_G"/>
    <w:basedOn w:val="Policepardfaut"/>
    <w:qFormat/>
    <w:rPr>
      <w:rFonts w:ascii="Times New Roman" w:hAnsi="Times New Roman"/>
      <w:b/>
      <w:sz w:val="18"/>
      <w:lang w:val="fr-CH"/>
    </w:rPr>
  </w:style>
  <w:style w:type="character" w:customStyle="1" w:styleId="Titre1Car">
    <w:name w:val="Titre 1 Car"/>
    <w:aliases w:val="Table_G Car"/>
    <w:basedOn w:val="Policepardfaut"/>
    <w:link w:val="Titre1"/>
    <w:rPr>
      <w:rFonts w:ascii="Times New Roman" w:hAnsi="Times New Roman" w:cs="Times New Roman"/>
      <w:sz w:val="20"/>
      <w:szCs w:val="20"/>
    </w:rPr>
  </w:style>
  <w:style w:type="character" w:customStyle="1" w:styleId="Titre2Car">
    <w:name w:val="Titre 2 Car"/>
    <w:basedOn w:val="Policepardfaut"/>
    <w:link w:val="Titre2"/>
    <w:semiHidden/>
    <w:rPr>
      <w:rFonts w:ascii="Times New Roman" w:hAnsi="Times New Roman" w:cs="Times New Roman"/>
      <w:sz w:val="20"/>
      <w:szCs w:val="20"/>
    </w:rPr>
  </w:style>
  <w:style w:type="character" w:customStyle="1" w:styleId="Titre3Car">
    <w:name w:val="Titre 3 Car"/>
    <w:basedOn w:val="Policepardfaut"/>
    <w:link w:val="Titre3"/>
    <w:semiHidden/>
    <w:rPr>
      <w:rFonts w:ascii="Times New Roman" w:hAnsi="Times New Roman" w:cs="Times New Roman"/>
      <w:sz w:val="20"/>
      <w:szCs w:val="20"/>
    </w:rPr>
  </w:style>
  <w:style w:type="character" w:customStyle="1" w:styleId="Titre4Car">
    <w:name w:val="Titre 4 Car"/>
    <w:basedOn w:val="Policepardfaut"/>
    <w:link w:val="Titre4"/>
    <w:semiHidden/>
    <w:rPr>
      <w:rFonts w:ascii="Times New Roman" w:hAnsi="Times New Roman" w:cs="Times New Roman"/>
      <w:sz w:val="20"/>
      <w:szCs w:val="20"/>
    </w:rPr>
  </w:style>
  <w:style w:type="character" w:customStyle="1" w:styleId="Titre5Car">
    <w:name w:val="Titre 5 Car"/>
    <w:basedOn w:val="Policepardfaut"/>
    <w:link w:val="Titre5"/>
    <w:semiHidden/>
    <w:rPr>
      <w:rFonts w:ascii="Times New Roman" w:hAnsi="Times New Roman" w:cs="Times New Roman"/>
      <w:sz w:val="20"/>
      <w:szCs w:val="20"/>
    </w:rPr>
  </w:style>
  <w:style w:type="character" w:customStyle="1" w:styleId="Titre6Car">
    <w:name w:val="Titre 6 Car"/>
    <w:basedOn w:val="Policepardfaut"/>
    <w:link w:val="Titre6"/>
    <w:semiHidden/>
    <w:rPr>
      <w:rFonts w:ascii="Times New Roman" w:hAnsi="Times New Roman" w:cs="Times New Roman"/>
      <w:sz w:val="20"/>
      <w:szCs w:val="20"/>
    </w:rPr>
  </w:style>
  <w:style w:type="character" w:customStyle="1" w:styleId="Titre7Car">
    <w:name w:val="Titre 7 Car"/>
    <w:basedOn w:val="Policepardfaut"/>
    <w:link w:val="Titre7"/>
    <w:semiHidden/>
    <w:rPr>
      <w:rFonts w:ascii="Times New Roman" w:hAnsi="Times New Roman" w:cs="Times New Roman"/>
      <w:sz w:val="20"/>
      <w:szCs w:val="20"/>
    </w:rPr>
  </w:style>
  <w:style w:type="character" w:customStyle="1" w:styleId="Titre8Car">
    <w:name w:val="Titre 8 Car"/>
    <w:basedOn w:val="Policepardfaut"/>
    <w:link w:val="Titre8"/>
    <w:semiHidden/>
    <w:rPr>
      <w:rFonts w:ascii="Times New Roman" w:hAnsi="Times New Roman" w:cs="Times New Roman"/>
      <w:sz w:val="20"/>
      <w:szCs w:val="20"/>
    </w:rPr>
  </w:style>
  <w:style w:type="character" w:customStyle="1" w:styleId="Titre9Car">
    <w:name w:val="Titre 9 Car"/>
    <w:basedOn w:val="Policepardfaut"/>
    <w:link w:val="Titre9"/>
    <w:semiHidden/>
    <w:rPr>
      <w:rFonts w:ascii="Times New Roman" w:hAnsi="Times New Roman" w:cs="Times New Roman"/>
      <w:sz w:val="20"/>
      <w:szCs w:val="20"/>
    </w:rPr>
  </w:style>
  <w:style w:type="paragraph" w:styleId="Textedebulles">
    <w:name w:val="Balloon Text"/>
    <w:basedOn w:val="Normal"/>
    <w:link w:val="TextedebullesCar"/>
    <w:uiPriority w:val="99"/>
    <w:semiHidden/>
    <w:unhideWhenUse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eastAsia="Times New Roman" w:hAnsi="Tahoma" w:cs="Tahoma"/>
      <w:sz w:val="16"/>
      <w:szCs w:val="16"/>
      <w:lang w:val="en-GB"/>
    </w:rPr>
  </w:style>
  <w:style w:type="character" w:customStyle="1" w:styleId="SingleTxtGChar">
    <w:name w:val="_ Single Txt_G Char"/>
    <w:link w:val="SingleTxtG"/>
    <w:rPr>
      <w:rFonts w:ascii="Times New Roman" w:hAnsi="Times New Roman" w:cs="Times New Roman"/>
      <w:sz w:val="20"/>
      <w:szCs w:val="20"/>
    </w:rPr>
  </w:style>
  <w:style w:type="character" w:customStyle="1" w:styleId="HChGChar">
    <w:name w:val="_ H _Ch_G Char"/>
    <w:link w:val="HChG"/>
    <w:rPr>
      <w:rFonts w:ascii="Times New Roman" w:eastAsiaTheme="minorEastAsia" w:hAnsi="Times New Roman" w:cs="Times New Roman"/>
      <w:b/>
      <w:sz w:val="28"/>
      <w:szCs w:val="20"/>
      <w:lang w:eastAsia="zh-CN"/>
    </w:rPr>
  </w:style>
  <w:style w:type="character" w:customStyle="1" w:styleId="H1GChar">
    <w:name w:val="_ H_1_G Char"/>
    <w:link w:val="H1G"/>
    <w:locked/>
    <w:rPr>
      <w:rFonts w:ascii="Times New Roman" w:eastAsiaTheme="minorEastAsia" w:hAnsi="Times New Roman" w:cs="Times New Roman"/>
      <w:b/>
      <w:sz w:val="24"/>
      <w:szCs w:val="20"/>
      <w:lang w:eastAsia="zh-CN"/>
    </w:rPr>
  </w:style>
  <w:style w:type="character" w:customStyle="1" w:styleId="H23GChar">
    <w:name w:val="_ H_2/3_G Char"/>
    <w:link w:val="H23G"/>
    <w:locked/>
    <w:rsid w:val="00AB261D"/>
    <w:rPr>
      <w:rFonts w:ascii="Times New Roman" w:eastAsiaTheme="minorEastAsia" w:hAnsi="Times New Roman" w:cs="Times New Roman"/>
      <w:b/>
      <w:sz w:val="20"/>
      <w:szCs w:val="20"/>
      <w:lang w:val="fr-FR" w:eastAsia="zh-CN"/>
    </w:rPr>
  </w:style>
  <w:style w:type="character" w:styleId="Mentionnonrsolue">
    <w:name w:val="Unresolved Mention"/>
    <w:basedOn w:val="Policepardfaut"/>
    <w:uiPriority w:val="99"/>
    <w:semiHidden/>
    <w:unhideWhenUsed/>
    <w:rsid w:val="004A68B0"/>
    <w:rPr>
      <w:color w:val="605E5C"/>
      <w:shd w:val="clear" w:color="auto" w:fill="E1DFDD"/>
    </w:rPr>
  </w:style>
  <w:style w:type="paragraph" w:styleId="Paragraphedeliste">
    <w:name w:val="List Paragraph"/>
    <w:basedOn w:val="Normal"/>
    <w:uiPriority w:val="34"/>
    <w:qFormat/>
    <w:rsid w:val="00D60EC9"/>
    <w:pPr>
      <w:suppressAutoHyphens w:val="0"/>
      <w:kinsoku/>
      <w:overflowPunct/>
      <w:autoSpaceDE/>
      <w:autoSpaceDN/>
      <w:adjustRightInd/>
      <w:snapToGrid/>
      <w:spacing w:after="160" w:line="259" w:lineRule="auto"/>
      <w:ind w:left="720"/>
      <w:contextualSpacing/>
    </w:pPr>
    <w:rPr>
      <w:rFonts w:asciiTheme="minorHAnsi" w:hAnsiTheme="minorHAnsi" w:cstheme="minorBidi"/>
      <w:kern w:val="2"/>
      <w:sz w:val="22"/>
      <w:szCs w:val="22"/>
      <w:lang w:val="en-GB"/>
      <w14:ligatures w14:val="standardContextual"/>
    </w:rPr>
  </w:style>
  <w:style w:type="paragraph" w:styleId="Commentaire">
    <w:name w:val="annotation text"/>
    <w:basedOn w:val="Normal"/>
    <w:link w:val="CommentaireCar"/>
    <w:uiPriority w:val="99"/>
    <w:unhideWhenUsed/>
    <w:rsid w:val="009B558F"/>
    <w:pPr>
      <w:spacing w:line="240" w:lineRule="auto"/>
    </w:pPr>
  </w:style>
  <w:style w:type="character" w:customStyle="1" w:styleId="CommentaireCar">
    <w:name w:val="Commentaire Car"/>
    <w:basedOn w:val="Policepardfaut"/>
    <w:link w:val="Commentaire"/>
    <w:uiPriority w:val="99"/>
    <w:rsid w:val="009B558F"/>
    <w:rPr>
      <w:rFonts w:ascii="Times New Roman" w:hAnsi="Times New Roman" w:cs="Times New Roman"/>
      <w:sz w:val="20"/>
      <w:szCs w:val="20"/>
    </w:rPr>
  </w:style>
  <w:style w:type="character" w:styleId="Marquedecommentaire">
    <w:name w:val="annotation reference"/>
    <w:basedOn w:val="Policepardfaut"/>
    <w:uiPriority w:val="99"/>
    <w:semiHidden/>
    <w:unhideWhenUsed/>
    <w:rsid w:val="009B558F"/>
    <w:rPr>
      <w:sz w:val="16"/>
      <w:szCs w:val="16"/>
    </w:rPr>
  </w:style>
  <w:style w:type="paragraph" w:styleId="Rvision">
    <w:name w:val="Revision"/>
    <w:hidden/>
    <w:uiPriority w:val="99"/>
    <w:semiHidden/>
    <w:rsid w:val="003D2917"/>
    <w:pPr>
      <w:spacing w:after="0" w:line="240" w:lineRule="auto"/>
    </w:pPr>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3D2917"/>
    <w:rPr>
      <w:b/>
      <w:bCs/>
    </w:rPr>
  </w:style>
  <w:style w:type="character" w:customStyle="1" w:styleId="ObjetducommentaireCar">
    <w:name w:val="Objet du commentaire Car"/>
    <w:basedOn w:val="CommentaireCar"/>
    <w:link w:val="Objetducommentaire"/>
    <w:uiPriority w:val="99"/>
    <w:semiHidden/>
    <w:rsid w:val="003D2917"/>
    <w:rPr>
      <w:rFonts w:ascii="Times New Roman" w:hAnsi="Times New Roman" w:cs="Times New Roman"/>
      <w:b/>
      <w:bCs/>
      <w:sz w:val="20"/>
      <w:szCs w:val="20"/>
    </w:rPr>
  </w:style>
  <w:style w:type="character" w:customStyle="1" w:styleId="apple-converted-space">
    <w:name w:val="apple-converted-space"/>
    <w:basedOn w:val="Policepardfaut"/>
    <w:rsid w:val="000336A3"/>
  </w:style>
  <w:style w:type="paragraph" w:styleId="NormalWeb">
    <w:name w:val="Normal (Web)"/>
    <w:basedOn w:val="Normal"/>
    <w:uiPriority w:val="99"/>
    <w:semiHidden/>
    <w:unhideWhenUsed/>
    <w:rsid w:val="000336A3"/>
    <w:pPr>
      <w:suppressAutoHyphens w:val="0"/>
      <w:kinsoku/>
      <w:overflowPunct/>
      <w:autoSpaceDE/>
      <w:autoSpaceDN/>
      <w:adjustRightInd/>
      <w:snapToGrid/>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16313">
      <w:bodyDiv w:val="1"/>
      <w:marLeft w:val="0"/>
      <w:marRight w:val="0"/>
      <w:marTop w:val="0"/>
      <w:marBottom w:val="0"/>
      <w:divBdr>
        <w:top w:val="none" w:sz="0" w:space="0" w:color="auto"/>
        <w:left w:val="none" w:sz="0" w:space="0" w:color="auto"/>
        <w:bottom w:val="none" w:sz="0" w:space="0" w:color="auto"/>
        <w:right w:val="none" w:sz="0" w:space="0" w:color="auto"/>
      </w:divBdr>
    </w:div>
    <w:div w:id="141241722">
      <w:bodyDiv w:val="1"/>
      <w:marLeft w:val="0"/>
      <w:marRight w:val="0"/>
      <w:marTop w:val="0"/>
      <w:marBottom w:val="0"/>
      <w:divBdr>
        <w:top w:val="none" w:sz="0" w:space="0" w:color="auto"/>
        <w:left w:val="none" w:sz="0" w:space="0" w:color="auto"/>
        <w:bottom w:val="none" w:sz="0" w:space="0" w:color="auto"/>
        <w:right w:val="none" w:sz="0" w:space="0" w:color="auto"/>
      </w:divBdr>
    </w:div>
    <w:div w:id="405805896">
      <w:bodyDiv w:val="1"/>
      <w:marLeft w:val="0"/>
      <w:marRight w:val="0"/>
      <w:marTop w:val="0"/>
      <w:marBottom w:val="0"/>
      <w:divBdr>
        <w:top w:val="none" w:sz="0" w:space="0" w:color="auto"/>
        <w:left w:val="none" w:sz="0" w:space="0" w:color="auto"/>
        <w:bottom w:val="none" w:sz="0" w:space="0" w:color="auto"/>
        <w:right w:val="none" w:sz="0" w:space="0" w:color="auto"/>
      </w:divBdr>
    </w:div>
    <w:div w:id="560294302">
      <w:bodyDiv w:val="1"/>
      <w:marLeft w:val="0"/>
      <w:marRight w:val="0"/>
      <w:marTop w:val="0"/>
      <w:marBottom w:val="0"/>
      <w:divBdr>
        <w:top w:val="none" w:sz="0" w:space="0" w:color="auto"/>
        <w:left w:val="none" w:sz="0" w:space="0" w:color="auto"/>
        <w:bottom w:val="none" w:sz="0" w:space="0" w:color="auto"/>
        <w:right w:val="none" w:sz="0" w:space="0" w:color="auto"/>
      </w:divBdr>
    </w:div>
    <w:div w:id="582102146">
      <w:bodyDiv w:val="1"/>
      <w:marLeft w:val="0"/>
      <w:marRight w:val="0"/>
      <w:marTop w:val="0"/>
      <w:marBottom w:val="0"/>
      <w:divBdr>
        <w:top w:val="none" w:sz="0" w:space="0" w:color="auto"/>
        <w:left w:val="none" w:sz="0" w:space="0" w:color="auto"/>
        <w:bottom w:val="none" w:sz="0" w:space="0" w:color="auto"/>
        <w:right w:val="none" w:sz="0" w:space="0" w:color="auto"/>
      </w:divBdr>
    </w:div>
    <w:div w:id="646474015">
      <w:bodyDiv w:val="1"/>
      <w:marLeft w:val="0"/>
      <w:marRight w:val="0"/>
      <w:marTop w:val="0"/>
      <w:marBottom w:val="0"/>
      <w:divBdr>
        <w:top w:val="none" w:sz="0" w:space="0" w:color="auto"/>
        <w:left w:val="none" w:sz="0" w:space="0" w:color="auto"/>
        <w:bottom w:val="none" w:sz="0" w:space="0" w:color="auto"/>
        <w:right w:val="none" w:sz="0" w:space="0" w:color="auto"/>
      </w:divBdr>
      <w:divsChild>
        <w:div w:id="54396856">
          <w:marLeft w:val="0"/>
          <w:marRight w:val="0"/>
          <w:marTop w:val="0"/>
          <w:marBottom w:val="0"/>
          <w:divBdr>
            <w:top w:val="none" w:sz="0" w:space="0" w:color="auto"/>
            <w:left w:val="none" w:sz="0" w:space="0" w:color="auto"/>
            <w:bottom w:val="none" w:sz="0" w:space="0" w:color="auto"/>
            <w:right w:val="none" w:sz="0" w:space="0" w:color="auto"/>
          </w:divBdr>
          <w:divsChild>
            <w:div w:id="565267378">
              <w:marLeft w:val="0"/>
              <w:marRight w:val="0"/>
              <w:marTop w:val="0"/>
              <w:marBottom w:val="0"/>
              <w:divBdr>
                <w:top w:val="none" w:sz="0" w:space="0" w:color="auto"/>
                <w:left w:val="none" w:sz="0" w:space="0" w:color="auto"/>
                <w:bottom w:val="none" w:sz="0" w:space="0" w:color="auto"/>
                <w:right w:val="none" w:sz="0" w:space="0" w:color="auto"/>
              </w:divBdr>
              <w:divsChild>
                <w:div w:id="39937686">
                  <w:marLeft w:val="0"/>
                  <w:marRight w:val="0"/>
                  <w:marTop w:val="0"/>
                  <w:marBottom w:val="0"/>
                  <w:divBdr>
                    <w:top w:val="none" w:sz="0" w:space="0" w:color="auto"/>
                    <w:left w:val="none" w:sz="0" w:space="0" w:color="auto"/>
                    <w:bottom w:val="none" w:sz="0" w:space="0" w:color="auto"/>
                    <w:right w:val="none" w:sz="0" w:space="0" w:color="auto"/>
                  </w:divBdr>
                  <w:divsChild>
                    <w:div w:id="1339431167">
                      <w:marLeft w:val="0"/>
                      <w:marRight w:val="0"/>
                      <w:marTop w:val="0"/>
                      <w:marBottom w:val="0"/>
                      <w:divBdr>
                        <w:top w:val="none" w:sz="0" w:space="0" w:color="auto"/>
                        <w:left w:val="none" w:sz="0" w:space="0" w:color="auto"/>
                        <w:bottom w:val="none" w:sz="0" w:space="0" w:color="auto"/>
                        <w:right w:val="none" w:sz="0" w:space="0" w:color="auto"/>
                      </w:divBdr>
                      <w:divsChild>
                        <w:div w:id="969701059">
                          <w:marLeft w:val="0"/>
                          <w:marRight w:val="0"/>
                          <w:marTop w:val="0"/>
                          <w:marBottom w:val="0"/>
                          <w:divBdr>
                            <w:top w:val="none" w:sz="0" w:space="0" w:color="auto"/>
                            <w:left w:val="none" w:sz="0" w:space="0" w:color="auto"/>
                            <w:bottom w:val="none" w:sz="0" w:space="0" w:color="auto"/>
                            <w:right w:val="none" w:sz="0" w:space="0" w:color="auto"/>
                          </w:divBdr>
                          <w:divsChild>
                            <w:div w:id="893126791">
                              <w:marLeft w:val="0"/>
                              <w:marRight w:val="0"/>
                              <w:marTop w:val="0"/>
                              <w:marBottom w:val="0"/>
                              <w:divBdr>
                                <w:top w:val="none" w:sz="0" w:space="0" w:color="auto"/>
                                <w:left w:val="none" w:sz="0" w:space="0" w:color="auto"/>
                                <w:bottom w:val="none" w:sz="0" w:space="0" w:color="auto"/>
                                <w:right w:val="none" w:sz="0" w:space="0" w:color="auto"/>
                              </w:divBdr>
                              <w:divsChild>
                                <w:div w:id="1614626708">
                                  <w:marLeft w:val="0"/>
                                  <w:marRight w:val="0"/>
                                  <w:marTop w:val="0"/>
                                  <w:marBottom w:val="0"/>
                                  <w:divBdr>
                                    <w:top w:val="none" w:sz="0" w:space="0" w:color="auto"/>
                                    <w:left w:val="none" w:sz="0" w:space="0" w:color="auto"/>
                                    <w:bottom w:val="none" w:sz="0" w:space="0" w:color="auto"/>
                                    <w:right w:val="none" w:sz="0" w:space="0" w:color="auto"/>
                                  </w:divBdr>
                                  <w:divsChild>
                                    <w:div w:id="673802430">
                                      <w:marLeft w:val="0"/>
                                      <w:marRight w:val="0"/>
                                      <w:marTop w:val="0"/>
                                      <w:marBottom w:val="0"/>
                                      <w:divBdr>
                                        <w:top w:val="none" w:sz="0" w:space="0" w:color="auto"/>
                                        <w:left w:val="none" w:sz="0" w:space="0" w:color="auto"/>
                                        <w:bottom w:val="none" w:sz="0" w:space="0" w:color="auto"/>
                                        <w:right w:val="none" w:sz="0" w:space="0" w:color="auto"/>
                                      </w:divBdr>
                                      <w:divsChild>
                                        <w:div w:id="921185147">
                                          <w:marLeft w:val="0"/>
                                          <w:marRight w:val="0"/>
                                          <w:marTop w:val="0"/>
                                          <w:marBottom w:val="0"/>
                                          <w:divBdr>
                                            <w:top w:val="none" w:sz="0" w:space="0" w:color="auto"/>
                                            <w:left w:val="none" w:sz="0" w:space="0" w:color="auto"/>
                                            <w:bottom w:val="none" w:sz="0" w:space="0" w:color="auto"/>
                                            <w:right w:val="none" w:sz="0" w:space="0" w:color="auto"/>
                                          </w:divBdr>
                                          <w:divsChild>
                                            <w:div w:id="1421024116">
                                              <w:marLeft w:val="0"/>
                                              <w:marRight w:val="0"/>
                                              <w:marTop w:val="0"/>
                                              <w:marBottom w:val="0"/>
                                              <w:divBdr>
                                                <w:top w:val="none" w:sz="0" w:space="0" w:color="auto"/>
                                                <w:left w:val="none" w:sz="0" w:space="0" w:color="auto"/>
                                                <w:bottom w:val="none" w:sz="0" w:space="0" w:color="auto"/>
                                                <w:right w:val="none" w:sz="0" w:space="0" w:color="auto"/>
                                              </w:divBdr>
                                              <w:divsChild>
                                                <w:div w:id="1685133930">
                                                  <w:marLeft w:val="0"/>
                                                  <w:marRight w:val="0"/>
                                                  <w:marTop w:val="0"/>
                                                  <w:marBottom w:val="0"/>
                                                  <w:divBdr>
                                                    <w:top w:val="none" w:sz="0" w:space="0" w:color="auto"/>
                                                    <w:left w:val="none" w:sz="0" w:space="0" w:color="auto"/>
                                                    <w:bottom w:val="none" w:sz="0" w:space="0" w:color="auto"/>
                                                    <w:right w:val="none" w:sz="0" w:space="0" w:color="auto"/>
                                                  </w:divBdr>
                                                  <w:divsChild>
                                                    <w:div w:id="2136748155">
                                                      <w:marLeft w:val="0"/>
                                                      <w:marRight w:val="0"/>
                                                      <w:marTop w:val="0"/>
                                                      <w:marBottom w:val="0"/>
                                                      <w:divBdr>
                                                        <w:top w:val="none" w:sz="0" w:space="0" w:color="auto"/>
                                                        <w:left w:val="none" w:sz="0" w:space="0" w:color="auto"/>
                                                        <w:bottom w:val="none" w:sz="0" w:space="0" w:color="auto"/>
                                                        <w:right w:val="none" w:sz="0" w:space="0" w:color="auto"/>
                                                      </w:divBdr>
                                                      <w:divsChild>
                                                        <w:div w:id="639307650">
                                                          <w:marLeft w:val="0"/>
                                                          <w:marRight w:val="0"/>
                                                          <w:marTop w:val="0"/>
                                                          <w:marBottom w:val="0"/>
                                                          <w:divBdr>
                                                            <w:top w:val="none" w:sz="0" w:space="0" w:color="auto"/>
                                                            <w:left w:val="none" w:sz="0" w:space="0" w:color="auto"/>
                                                            <w:bottom w:val="none" w:sz="0" w:space="0" w:color="auto"/>
                                                            <w:right w:val="none" w:sz="0" w:space="0" w:color="auto"/>
                                                          </w:divBdr>
                                                          <w:divsChild>
                                                            <w:div w:id="97271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8178994">
      <w:bodyDiv w:val="1"/>
      <w:marLeft w:val="0"/>
      <w:marRight w:val="0"/>
      <w:marTop w:val="0"/>
      <w:marBottom w:val="0"/>
      <w:divBdr>
        <w:top w:val="none" w:sz="0" w:space="0" w:color="auto"/>
        <w:left w:val="none" w:sz="0" w:space="0" w:color="auto"/>
        <w:bottom w:val="none" w:sz="0" w:space="0" w:color="auto"/>
        <w:right w:val="none" w:sz="0" w:space="0" w:color="auto"/>
      </w:divBdr>
      <w:divsChild>
        <w:div w:id="739491">
          <w:marLeft w:val="0"/>
          <w:marRight w:val="0"/>
          <w:marTop w:val="0"/>
          <w:marBottom w:val="0"/>
          <w:divBdr>
            <w:top w:val="none" w:sz="0" w:space="0" w:color="auto"/>
            <w:left w:val="none" w:sz="0" w:space="0" w:color="auto"/>
            <w:bottom w:val="none" w:sz="0" w:space="0" w:color="auto"/>
            <w:right w:val="none" w:sz="0" w:space="0" w:color="auto"/>
          </w:divBdr>
          <w:divsChild>
            <w:div w:id="956791870">
              <w:marLeft w:val="0"/>
              <w:marRight w:val="0"/>
              <w:marTop w:val="0"/>
              <w:marBottom w:val="0"/>
              <w:divBdr>
                <w:top w:val="none" w:sz="0" w:space="0" w:color="auto"/>
                <w:left w:val="none" w:sz="0" w:space="0" w:color="auto"/>
                <w:bottom w:val="none" w:sz="0" w:space="0" w:color="auto"/>
                <w:right w:val="none" w:sz="0" w:space="0" w:color="auto"/>
              </w:divBdr>
              <w:divsChild>
                <w:div w:id="1492866202">
                  <w:marLeft w:val="0"/>
                  <w:marRight w:val="0"/>
                  <w:marTop w:val="0"/>
                  <w:marBottom w:val="0"/>
                  <w:divBdr>
                    <w:top w:val="none" w:sz="0" w:space="0" w:color="auto"/>
                    <w:left w:val="none" w:sz="0" w:space="0" w:color="auto"/>
                    <w:bottom w:val="none" w:sz="0" w:space="0" w:color="auto"/>
                    <w:right w:val="none" w:sz="0" w:space="0" w:color="auto"/>
                  </w:divBdr>
                  <w:divsChild>
                    <w:div w:id="970093445">
                      <w:marLeft w:val="0"/>
                      <w:marRight w:val="0"/>
                      <w:marTop w:val="0"/>
                      <w:marBottom w:val="0"/>
                      <w:divBdr>
                        <w:top w:val="none" w:sz="0" w:space="0" w:color="auto"/>
                        <w:left w:val="none" w:sz="0" w:space="0" w:color="auto"/>
                        <w:bottom w:val="none" w:sz="0" w:space="0" w:color="auto"/>
                        <w:right w:val="none" w:sz="0" w:space="0" w:color="auto"/>
                      </w:divBdr>
                      <w:divsChild>
                        <w:div w:id="913008909">
                          <w:marLeft w:val="0"/>
                          <w:marRight w:val="0"/>
                          <w:marTop w:val="0"/>
                          <w:marBottom w:val="0"/>
                          <w:divBdr>
                            <w:top w:val="none" w:sz="0" w:space="0" w:color="auto"/>
                            <w:left w:val="none" w:sz="0" w:space="0" w:color="auto"/>
                            <w:bottom w:val="none" w:sz="0" w:space="0" w:color="auto"/>
                            <w:right w:val="none" w:sz="0" w:space="0" w:color="auto"/>
                          </w:divBdr>
                          <w:divsChild>
                            <w:div w:id="983507541">
                              <w:marLeft w:val="0"/>
                              <w:marRight w:val="0"/>
                              <w:marTop w:val="0"/>
                              <w:marBottom w:val="0"/>
                              <w:divBdr>
                                <w:top w:val="none" w:sz="0" w:space="0" w:color="auto"/>
                                <w:left w:val="none" w:sz="0" w:space="0" w:color="auto"/>
                                <w:bottom w:val="none" w:sz="0" w:space="0" w:color="auto"/>
                                <w:right w:val="none" w:sz="0" w:space="0" w:color="auto"/>
                              </w:divBdr>
                              <w:divsChild>
                                <w:div w:id="1241720576">
                                  <w:marLeft w:val="0"/>
                                  <w:marRight w:val="0"/>
                                  <w:marTop w:val="0"/>
                                  <w:marBottom w:val="0"/>
                                  <w:divBdr>
                                    <w:top w:val="none" w:sz="0" w:space="0" w:color="auto"/>
                                    <w:left w:val="none" w:sz="0" w:space="0" w:color="auto"/>
                                    <w:bottom w:val="none" w:sz="0" w:space="0" w:color="auto"/>
                                    <w:right w:val="none" w:sz="0" w:space="0" w:color="auto"/>
                                  </w:divBdr>
                                  <w:divsChild>
                                    <w:div w:id="1473909910">
                                      <w:marLeft w:val="0"/>
                                      <w:marRight w:val="0"/>
                                      <w:marTop w:val="0"/>
                                      <w:marBottom w:val="0"/>
                                      <w:divBdr>
                                        <w:top w:val="none" w:sz="0" w:space="0" w:color="auto"/>
                                        <w:left w:val="none" w:sz="0" w:space="0" w:color="auto"/>
                                        <w:bottom w:val="none" w:sz="0" w:space="0" w:color="auto"/>
                                        <w:right w:val="none" w:sz="0" w:space="0" w:color="auto"/>
                                      </w:divBdr>
                                      <w:divsChild>
                                        <w:div w:id="694885710">
                                          <w:marLeft w:val="0"/>
                                          <w:marRight w:val="0"/>
                                          <w:marTop w:val="0"/>
                                          <w:marBottom w:val="0"/>
                                          <w:divBdr>
                                            <w:top w:val="none" w:sz="0" w:space="0" w:color="auto"/>
                                            <w:left w:val="none" w:sz="0" w:space="0" w:color="auto"/>
                                            <w:bottom w:val="none" w:sz="0" w:space="0" w:color="auto"/>
                                            <w:right w:val="none" w:sz="0" w:space="0" w:color="auto"/>
                                          </w:divBdr>
                                          <w:divsChild>
                                            <w:div w:id="1868325449">
                                              <w:marLeft w:val="0"/>
                                              <w:marRight w:val="0"/>
                                              <w:marTop w:val="0"/>
                                              <w:marBottom w:val="0"/>
                                              <w:divBdr>
                                                <w:top w:val="none" w:sz="0" w:space="0" w:color="auto"/>
                                                <w:left w:val="none" w:sz="0" w:space="0" w:color="auto"/>
                                                <w:bottom w:val="none" w:sz="0" w:space="0" w:color="auto"/>
                                                <w:right w:val="none" w:sz="0" w:space="0" w:color="auto"/>
                                              </w:divBdr>
                                              <w:divsChild>
                                                <w:div w:id="596330244">
                                                  <w:marLeft w:val="0"/>
                                                  <w:marRight w:val="0"/>
                                                  <w:marTop w:val="0"/>
                                                  <w:marBottom w:val="0"/>
                                                  <w:divBdr>
                                                    <w:top w:val="none" w:sz="0" w:space="0" w:color="auto"/>
                                                    <w:left w:val="none" w:sz="0" w:space="0" w:color="auto"/>
                                                    <w:bottom w:val="none" w:sz="0" w:space="0" w:color="auto"/>
                                                    <w:right w:val="none" w:sz="0" w:space="0" w:color="auto"/>
                                                  </w:divBdr>
                                                  <w:divsChild>
                                                    <w:div w:id="1666006508">
                                                      <w:marLeft w:val="0"/>
                                                      <w:marRight w:val="0"/>
                                                      <w:marTop w:val="0"/>
                                                      <w:marBottom w:val="0"/>
                                                      <w:divBdr>
                                                        <w:top w:val="none" w:sz="0" w:space="0" w:color="auto"/>
                                                        <w:left w:val="none" w:sz="0" w:space="0" w:color="auto"/>
                                                        <w:bottom w:val="none" w:sz="0" w:space="0" w:color="auto"/>
                                                        <w:right w:val="none" w:sz="0" w:space="0" w:color="auto"/>
                                                      </w:divBdr>
                                                      <w:divsChild>
                                                        <w:div w:id="1670674553">
                                                          <w:marLeft w:val="0"/>
                                                          <w:marRight w:val="0"/>
                                                          <w:marTop w:val="0"/>
                                                          <w:marBottom w:val="0"/>
                                                          <w:divBdr>
                                                            <w:top w:val="none" w:sz="0" w:space="0" w:color="auto"/>
                                                            <w:left w:val="none" w:sz="0" w:space="0" w:color="auto"/>
                                                            <w:bottom w:val="none" w:sz="0" w:space="0" w:color="auto"/>
                                                            <w:right w:val="none" w:sz="0" w:space="0" w:color="auto"/>
                                                          </w:divBdr>
                                                          <w:divsChild>
                                                            <w:div w:id="56795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0724726">
      <w:bodyDiv w:val="1"/>
      <w:marLeft w:val="0"/>
      <w:marRight w:val="0"/>
      <w:marTop w:val="0"/>
      <w:marBottom w:val="0"/>
      <w:divBdr>
        <w:top w:val="none" w:sz="0" w:space="0" w:color="auto"/>
        <w:left w:val="none" w:sz="0" w:space="0" w:color="auto"/>
        <w:bottom w:val="none" w:sz="0" w:space="0" w:color="auto"/>
        <w:right w:val="none" w:sz="0" w:space="0" w:color="auto"/>
      </w:divBdr>
    </w:div>
    <w:div w:id="1055156628">
      <w:bodyDiv w:val="1"/>
      <w:marLeft w:val="0"/>
      <w:marRight w:val="0"/>
      <w:marTop w:val="0"/>
      <w:marBottom w:val="0"/>
      <w:divBdr>
        <w:top w:val="none" w:sz="0" w:space="0" w:color="auto"/>
        <w:left w:val="none" w:sz="0" w:space="0" w:color="auto"/>
        <w:bottom w:val="none" w:sz="0" w:space="0" w:color="auto"/>
        <w:right w:val="none" w:sz="0" w:space="0" w:color="auto"/>
      </w:divBdr>
    </w:div>
    <w:div w:id="1162431365">
      <w:bodyDiv w:val="1"/>
      <w:marLeft w:val="0"/>
      <w:marRight w:val="0"/>
      <w:marTop w:val="0"/>
      <w:marBottom w:val="0"/>
      <w:divBdr>
        <w:top w:val="none" w:sz="0" w:space="0" w:color="auto"/>
        <w:left w:val="none" w:sz="0" w:space="0" w:color="auto"/>
        <w:bottom w:val="none" w:sz="0" w:space="0" w:color="auto"/>
        <w:right w:val="none" w:sz="0" w:space="0" w:color="auto"/>
      </w:divBdr>
    </w:div>
    <w:div w:id="1178497551">
      <w:bodyDiv w:val="1"/>
      <w:marLeft w:val="0"/>
      <w:marRight w:val="0"/>
      <w:marTop w:val="0"/>
      <w:marBottom w:val="0"/>
      <w:divBdr>
        <w:top w:val="none" w:sz="0" w:space="0" w:color="auto"/>
        <w:left w:val="none" w:sz="0" w:space="0" w:color="auto"/>
        <w:bottom w:val="none" w:sz="0" w:space="0" w:color="auto"/>
        <w:right w:val="none" w:sz="0" w:space="0" w:color="auto"/>
      </w:divBdr>
    </w:div>
    <w:div w:id="1262642422">
      <w:bodyDiv w:val="1"/>
      <w:marLeft w:val="0"/>
      <w:marRight w:val="0"/>
      <w:marTop w:val="0"/>
      <w:marBottom w:val="0"/>
      <w:divBdr>
        <w:top w:val="none" w:sz="0" w:space="0" w:color="auto"/>
        <w:left w:val="none" w:sz="0" w:space="0" w:color="auto"/>
        <w:bottom w:val="none" w:sz="0" w:space="0" w:color="auto"/>
        <w:right w:val="none" w:sz="0" w:space="0" w:color="auto"/>
      </w:divBdr>
    </w:div>
    <w:div w:id="1745184673">
      <w:bodyDiv w:val="1"/>
      <w:marLeft w:val="0"/>
      <w:marRight w:val="0"/>
      <w:marTop w:val="0"/>
      <w:marBottom w:val="0"/>
      <w:divBdr>
        <w:top w:val="none" w:sz="0" w:space="0" w:color="auto"/>
        <w:left w:val="none" w:sz="0" w:space="0" w:color="auto"/>
        <w:bottom w:val="none" w:sz="0" w:space="0" w:color="auto"/>
        <w:right w:val="none" w:sz="0" w:space="0" w:color="auto"/>
      </w:divBdr>
    </w:div>
    <w:div w:id="1845393067">
      <w:bodyDiv w:val="1"/>
      <w:marLeft w:val="0"/>
      <w:marRight w:val="0"/>
      <w:marTop w:val="0"/>
      <w:marBottom w:val="0"/>
      <w:divBdr>
        <w:top w:val="none" w:sz="0" w:space="0" w:color="auto"/>
        <w:left w:val="none" w:sz="0" w:space="0" w:color="auto"/>
        <w:bottom w:val="none" w:sz="0" w:space="0" w:color="auto"/>
        <w:right w:val="none" w:sz="0" w:space="0" w:color="auto"/>
      </w:divBdr>
    </w:div>
    <w:div w:id="1992443512">
      <w:bodyDiv w:val="1"/>
      <w:marLeft w:val="0"/>
      <w:marRight w:val="0"/>
      <w:marTop w:val="0"/>
      <w:marBottom w:val="0"/>
      <w:divBdr>
        <w:top w:val="none" w:sz="0" w:space="0" w:color="auto"/>
        <w:left w:val="none" w:sz="0" w:space="0" w:color="auto"/>
        <w:bottom w:val="none" w:sz="0" w:space="0" w:color="auto"/>
        <w:right w:val="none" w:sz="0" w:space="0" w:color="auto"/>
      </w:divBdr>
      <w:divsChild>
        <w:div w:id="232591017">
          <w:marLeft w:val="0"/>
          <w:marRight w:val="0"/>
          <w:marTop w:val="0"/>
          <w:marBottom w:val="0"/>
          <w:divBdr>
            <w:top w:val="none" w:sz="0" w:space="0" w:color="auto"/>
            <w:left w:val="none" w:sz="0" w:space="0" w:color="auto"/>
            <w:bottom w:val="none" w:sz="0" w:space="0" w:color="auto"/>
            <w:right w:val="none" w:sz="0" w:space="0" w:color="auto"/>
          </w:divBdr>
          <w:divsChild>
            <w:div w:id="1530491042">
              <w:marLeft w:val="0"/>
              <w:marRight w:val="0"/>
              <w:marTop w:val="0"/>
              <w:marBottom w:val="0"/>
              <w:divBdr>
                <w:top w:val="none" w:sz="0" w:space="0" w:color="auto"/>
                <w:left w:val="none" w:sz="0" w:space="0" w:color="auto"/>
                <w:bottom w:val="none" w:sz="0" w:space="0" w:color="auto"/>
                <w:right w:val="none" w:sz="0" w:space="0" w:color="auto"/>
              </w:divBdr>
              <w:divsChild>
                <w:div w:id="191774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5972">
      <w:bodyDiv w:val="1"/>
      <w:marLeft w:val="0"/>
      <w:marRight w:val="0"/>
      <w:marTop w:val="0"/>
      <w:marBottom w:val="0"/>
      <w:divBdr>
        <w:top w:val="none" w:sz="0" w:space="0" w:color="auto"/>
        <w:left w:val="none" w:sz="0" w:space="0" w:color="auto"/>
        <w:bottom w:val="none" w:sz="0" w:space="0" w:color="auto"/>
        <w:right w:val="none" w:sz="0" w:space="0" w:color="auto"/>
      </w:divBdr>
      <w:divsChild>
        <w:div w:id="800609546">
          <w:marLeft w:val="0"/>
          <w:marRight w:val="0"/>
          <w:marTop w:val="0"/>
          <w:marBottom w:val="0"/>
          <w:divBdr>
            <w:top w:val="none" w:sz="0" w:space="0" w:color="auto"/>
            <w:left w:val="none" w:sz="0" w:space="0" w:color="auto"/>
            <w:bottom w:val="none" w:sz="0" w:space="0" w:color="auto"/>
            <w:right w:val="none" w:sz="0" w:space="0" w:color="auto"/>
          </w:divBdr>
          <w:divsChild>
            <w:div w:id="508107162">
              <w:marLeft w:val="0"/>
              <w:marRight w:val="0"/>
              <w:marTop w:val="0"/>
              <w:marBottom w:val="0"/>
              <w:divBdr>
                <w:top w:val="none" w:sz="0" w:space="0" w:color="auto"/>
                <w:left w:val="none" w:sz="0" w:space="0" w:color="auto"/>
                <w:bottom w:val="none" w:sz="0" w:space="0" w:color="auto"/>
                <w:right w:val="none" w:sz="0" w:space="0" w:color="auto"/>
              </w:divBdr>
              <w:divsChild>
                <w:div w:id="1133980275">
                  <w:marLeft w:val="0"/>
                  <w:marRight w:val="0"/>
                  <w:marTop w:val="0"/>
                  <w:marBottom w:val="0"/>
                  <w:divBdr>
                    <w:top w:val="none" w:sz="0" w:space="0" w:color="auto"/>
                    <w:left w:val="none" w:sz="0" w:space="0" w:color="auto"/>
                    <w:bottom w:val="none" w:sz="0" w:space="0" w:color="auto"/>
                    <w:right w:val="none" w:sz="0" w:space="0" w:color="auto"/>
                  </w:divBdr>
                  <w:divsChild>
                    <w:div w:id="1654872736">
                      <w:marLeft w:val="0"/>
                      <w:marRight w:val="0"/>
                      <w:marTop w:val="0"/>
                      <w:marBottom w:val="0"/>
                      <w:divBdr>
                        <w:top w:val="none" w:sz="0" w:space="0" w:color="auto"/>
                        <w:left w:val="none" w:sz="0" w:space="0" w:color="auto"/>
                        <w:bottom w:val="none" w:sz="0" w:space="0" w:color="auto"/>
                        <w:right w:val="none" w:sz="0" w:space="0" w:color="auto"/>
                      </w:divBdr>
                      <w:divsChild>
                        <w:div w:id="405953368">
                          <w:marLeft w:val="0"/>
                          <w:marRight w:val="0"/>
                          <w:marTop w:val="0"/>
                          <w:marBottom w:val="0"/>
                          <w:divBdr>
                            <w:top w:val="none" w:sz="0" w:space="0" w:color="auto"/>
                            <w:left w:val="none" w:sz="0" w:space="0" w:color="auto"/>
                            <w:bottom w:val="none" w:sz="0" w:space="0" w:color="auto"/>
                            <w:right w:val="none" w:sz="0" w:space="0" w:color="auto"/>
                          </w:divBdr>
                          <w:divsChild>
                            <w:div w:id="1637031111">
                              <w:marLeft w:val="0"/>
                              <w:marRight w:val="0"/>
                              <w:marTop w:val="0"/>
                              <w:marBottom w:val="0"/>
                              <w:divBdr>
                                <w:top w:val="none" w:sz="0" w:space="0" w:color="auto"/>
                                <w:left w:val="none" w:sz="0" w:space="0" w:color="auto"/>
                                <w:bottom w:val="none" w:sz="0" w:space="0" w:color="auto"/>
                                <w:right w:val="none" w:sz="0" w:space="0" w:color="auto"/>
                              </w:divBdr>
                              <w:divsChild>
                                <w:div w:id="1195340160">
                                  <w:marLeft w:val="0"/>
                                  <w:marRight w:val="0"/>
                                  <w:marTop w:val="0"/>
                                  <w:marBottom w:val="0"/>
                                  <w:divBdr>
                                    <w:top w:val="none" w:sz="0" w:space="0" w:color="auto"/>
                                    <w:left w:val="none" w:sz="0" w:space="0" w:color="auto"/>
                                    <w:bottom w:val="none" w:sz="0" w:space="0" w:color="auto"/>
                                    <w:right w:val="none" w:sz="0" w:space="0" w:color="auto"/>
                                  </w:divBdr>
                                  <w:divsChild>
                                    <w:div w:id="1531529937">
                                      <w:marLeft w:val="0"/>
                                      <w:marRight w:val="0"/>
                                      <w:marTop w:val="0"/>
                                      <w:marBottom w:val="0"/>
                                      <w:divBdr>
                                        <w:top w:val="none" w:sz="0" w:space="0" w:color="auto"/>
                                        <w:left w:val="none" w:sz="0" w:space="0" w:color="auto"/>
                                        <w:bottom w:val="none" w:sz="0" w:space="0" w:color="auto"/>
                                        <w:right w:val="none" w:sz="0" w:space="0" w:color="auto"/>
                                      </w:divBdr>
                                      <w:divsChild>
                                        <w:div w:id="963584485">
                                          <w:marLeft w:val="0"/>
                                          <w:marRight w:val="0"/>
                                          <w:marTop w:val="0"/>
                                          <w:marBottom w:val="0"/>
                                          <w:divBdr>
                                            <w:top w:val="none" w:sz="0" w:space="0" w:color="auto"/>
                                            <w:left w:val="none" w:sz="0" w:space="0" w:color="auto"/>
                                            <w:bottom w:val="none" w:sz="0" w:space="0" w:color="auto"/>
                                            <w:right w:val="none" w:sz="0" w:space="0" w:color="auto"/>
                                          </w:divBdr>
                                          <w:divsChild>
                                            <w:div w:id="179928238">
                                              <w:marLeft w:val="0"/>
                                              <w:marRight w:val="0"/>
                                              <w:marTop w:val="0"/>
                                              <w:marBottom w:val="0"/>
                                              <w:divBdr>
                                                <w:top w:val="none" w:sz="0" w:space="0" w:color="auto"/>
                                                <w:left w:val="none" w:sz="0" w:space="0" w:color="auto"/>
                                                <w:bottom w:val="none" w:sz="0" w:space="0" w:color="auto"/>
                                                <w:right w:val="none" w:sz="0" w:space="0" w:color="auto"/>
                                              </w:divBdr>
                                              <w:divsChild>
                                                <w:div w:id="1518544101">
                                                  <w:marLeft w:val="0"/>
                                                  <w:marRight w:val="0"/>
                                                  <w:marTop w:val="0"/>
                                                  <w:marBottom w:val="0"/>
                                                  <w:divBdr>
                                                    <w:top w:val="none" w:sz="0" w:space="0" w:color="auto"/>
                                                    <w:left w:val="none" w:sz="0" w:space="0" w:color="auto"/>
                                                    <w:bottom w:val="none" w:sz="0" w:space="0" w:color="auto"/>
                                                    <w:right w:val="none" w:sz="0" w:space="0" w:color="auto"/>
                                                  </w:divBdr>
                                                  <w:divsChild>
                                                    <w:div w:id="1826120550">
                                                      <w:marLeft w:val="0"/>
                                                      <w:marRight w:val="0"/>
                                                      <w:marTop w:val="0"/>
                                                      <w:marBottom w:val="0"/>
                                                      <w:divBdr>
                                                        <w:top w:val="none" w:sz="0" w:space="0" w:color="auto"/>
                                                        <w:left w:val="none" w:sz="0" w:space="0" w:color="auto"/>
                                                        <w:bottom w:val="none" w:sz="0" w:space="0" w:color="auto"/>
                                                        <w:right w:val="none" w:sz="0" w:space="0" w:color="auto"/>
                                                      </w:divBdr>
                                                      <w:divsChild>
                                                        <w:div w:id="779878936">
                                                          <w:marLeft w:val="0"/>
                                                          <w:marRight w:val="0"/>
                                                          <w:marTop w:val="0"/>
                                                          <w:marBottom w:val="0"/>
                                                          <w:divBdr>
                                                            <w:top w:val="none" w:sz="0" w:space="0" w:color="auto"/>
                                                            <w:left w:val="none" w:sz="0" w:space="0" w:color="auto"/>
                                                            <w:bottom w:val="none" w:sz="0" w:space="0" w:color="auto"/>
                                                            <w:right w:val="none" w:sz="0" w:space="0" w:color="auto"/>
                                                          </w:divBdr>
                                                          <w:divsChild>
                                                            <w:div w:id="11891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7415741">
      <w:bodyDiv w:val="1"/>
      <w:marLeft w:val="0"/>
      <w:marRight w:val="0"/>
      <w:marTop w:val="0"/>
      <w:marBottom w:val="0"/>
      <w:divBdr>
        <w:top w:val="none" w:sz="0" w:space="0" w:color="auto"/>
        <w:left w:val="none" w:sz="0" w:space="0" w:color="auto"/>
        <w:bottom w:val="none" w:sz="0" w:space="0" w:color="auto"/>
        <w:right w:val="none" w:sz="0" w:space="0" w:color="auto"/>
      </w:divBdr>
      <w:divsChild>
        <w:div w:id="312373976">
          <w:marLeft w:val="0"/>
          <w:marRight w:val="0"/>
          <w:marTop w:val="0"/>
          <w:marBottom w:val="0"/>
          <w:divBdr>
            <w:top w:val="none" w:sz="0" w:space="0" w:color="auto"/>
            <w:left w:val="none" w:sz="0" w:space="0" w:color="auto"/>
            <w:bottom w:val="none" w:sz="0" w:space="0" w:color="auto"/>
            <w:right w:val="none" w:sz="0" w:space="0" w:color="auto"/>
          </w:divBdr>
          <w:divsChild>
            <w:div w:id="527452763">
              <w:marLeft w:val="0"/>
              <w:marRight w:val="0"/>
              <w:marTop w:val="0"/>
              <w:marBottom w:val="0"/>
              <w:divBdr>
                <w:top w:val="none" w:sz="0" w:space="0" w:color="auto"/>
                <w:left w:val="none" w:sz="0" w:space="0" w:color="auto"/>
                <w:bottom w:val="none" w:sz="0" w:space="0" w:color="auto"/>
                <w:right w:val="none" w:sz="0" w:space="0" w:color="auto"/>
              </w:divBdr>
              <w:divsChild>
                <w:div w:id="1226800007">
                  <w:marLeft w:val="0"/>
                  <w:marRight w:val="0"/>
                  <w:marTop w:val="0"/>
                  <w:marBottom w:val="0"/>
                  <w:divBdr>
                    <w:top w:val="none" w:sz="0" w:space="0" w:color="auto"/>
                    <w:left w:val="none" w:sz="0" w:space="0" w:color="auto"/>
                    <w:bottom w:val="none" w:sz="0" w:space="0" w:color="auto"/>
                    <w:right w:val="none" w:sz="0" w:space="0" w:color="auto"/>
                  </w:divBdr>
                  <w:divsChild>
                    <w:div w:id="1391002032">
                      <w:marLeft w:val="0"/>
                      <w:marRight w:val="0"/>
                      <w:marTop w:val="0"/>
                      <w:marBottom w:val="0"/>
                      <w:divBdr>
                        <w:top w:val="none" w:sz="0" w:space="0" w:color="auto"/>
                        <w:left w:val="none" w:sz="0" w:space="0" w:color="auto"/>
                        <w:bottom w:val="none" w:sz="0" w:space="0" w:color="auto"/>
                        <w:right w:val="none" w:sz="0" w:space="0" w:color="auto"/>
                      </w:divBdr>
                      <w:divsChild>
                        <w:div w:id="306905450">
                          <w:marLeft w:val="0"/>
                          <w:marRight w:val="0"/>
                          <w:marTop w:val="0"/>
                          <w:marBottom w:val="0"/>
                          <w:divBdr>
                            <w:top w:val="none" w:sz="0" w:space="0" w:color="auto"/>
                            <w:left w:val="none" w:sz="0" w:space="0" w:color="auto"/>
                            <w:bottom w:val="none" w:sz="0" w:space="0" w:color="auto"/>
                            <w:right w:val="none" w:sz="0" w:space="0" w:color="auto"/>
                          </w:divBdr>
                          <w:divsChild>
                            <w:div w:id="494611703">
                              <w:marLeft w:val="0"/>
                              <w:marRight w:val="0"/>
                              <w:marTop w:val="0"/>
                              <w:marBottom w:val="0"/>
                              <w:divBdr>
                                <w:top w:val="none" w:sz="0" w:space="0" w:color="auto"/>
                                <w:left w:val="none" w:sz="0" w:space="0" w:color="auto"/>
                                <w:bottom w:val="none" w:sz="0" w:space="0" w:color="auto"/>
                                <w:right w:val="none" w:sz="0" w:space="0" w:color="auto"/>
                              </w:divBdr>
                              <w:divsChild>
                                <w:div w:id="730425268">
                                  <w:marLeft w:val="0"/>
                                  <w:marRight w:val="0"/>
                                  <w:marTop w:val="0"/>
                                  <w:marBottom w:val="0"/>
                                  <w:divBdr>
                                    <w:top w:val="none" w:sz="0" w:space="0" w:color="auto"/>
                                    <w:left w:val="none" w:sz="0" w:space="0" w:color="auto"/>
                                    <w:bottom w:val="none" w:sz="0" w:space="0" w:color="auto"/>
                                    <w:right w:val="none" w:sz="0" w:space="0" w:color="auto"/>
                                  </w:divBdr>
                                  <w:divsChild>
                                    <w:div w:id="2120955155">
                                      <w:marLeft w:val="0"/>
                                      <w:marRight w:val="0"/>
                                      <w:marTop w:val="0"/>
                                      <w:marBottom w:val="0"/>
                                      <w:divBdr>
                                        <w:top w:val="none" w:sz="0" w:space="0" w:color="auto"/>
                                        <w:left w:val="none" w:sz="0" w:space="0" w:color="auto"/>
                                        <w:bottom w:val="none" w:sz="0" w:space="0" w:color="auto"/>
                                        <w:right w:val="none" w:sz="0" w:space="0" w:color="auto"/>
                                      </w:divBdr>
                                      <w:divsChild>
                                        <w:div w:id="914775930">
                                          <w:marLeft w:val="0"/>
                                          <w:marRight w:val="0"/>
                                          <w:marTop w:val="0"/>
                                          <w:marBottom w:val="0"/>
                                          <w:divBdr>
                                            <w:top w:val="none" w:sz="0" w:space="0" w:color="auto"/>
                                            <w:left w:val="none" w:sz="0" w:space="0" w:color="auto"/>
                                            <w:bottom w:val="none" w:sz="0" w:space="0" w:color="auto"/>
                                            <w:right w:val="none" w:sz="0" w:space="0" w:color="auto"/>
                                          </w:divBdr>
                                          <w:divsChild>
                                            <w:div w:id="1381704925">
                                              <w:marLeft w:val="0"/>
                                              <w:marRight w:val="0"/>
                                              <w:marTop w:val="0"/>
                                              <w:marBottom w:val="0"/>
                                              <w:divBdr>
                                                <w:top w:val="none" w:sz="0" w:space="0" w:color="auto"/>
                                                <w:left w:val="none" w:sz="0" w:space="0" w:color="auto"/>
                                                <w:bottom w:val="none" w:sz="0" w:space="0" w:color="auto"/>
                                                <w:right w:val="none" w:sz="0" w:space="0" w:color="auto"/>
                                              </w:divBdr>
                                              <w:divsChild>
                                                <w:div w:id="899176423">
                                                  <w:marLeft w:val="0"/>
                                                  <w:marRight w:val="0"/>
                                                  <w:marTop w:val="0"/>
                                                  <w:marBottom w:val="0"/>
                                                  <w:divBdr>
                                                    <w:top w:val="none" w:sz="0" w:space="0" w:color="auto"/>
                                                    <w:left w:val="none" w:sz="0" w:space="0" w:color="auto"/>
                                                    <w:bottom w:val="none" w:sz="0" w:space="0" w:color="auto"/>
                                                    <w:right w:val="none" w:sz="0" w:space="0" w:color="auto"/>
                                                  </w:divBdr>
                                                  <w:divsChild>
                                                    <w:div w:id="1969968282">
                                                      <w:marLeft w:val="0"/>
                                                      <w:marRight w:val="0"/>
                                                      <w:marTop w:val="0"/>
                                                      <w:marBottom w:val="0"/>
                                                      <w:divBdr>
                                                        <w:top w:val="none" w:sz="0" w:space="0" w:color="auto"/>
                                                        <w:left w:val="none" w:sz="0" w:space="0" w:color="auto"/>
                                                        <w:bottom w:val="none" w:sz="0" w:space="0" w:color="auto"/>
                                                        <w:right w:val="none" w:sz="0" w:space="0" w:color="auto"/>
                                                      </w:divBdr>
                                                      <w:divsChild>
                                                        <w:div w:id="482239575">
                                                          <w:marLeft w:val="0"/>
                                                          <w:marRight w:val="0"/>
                                                          <w:marTop w:val="0"/>
                                                          <w:marBottom w:val="0"/>
                                                          <w:divBdr>
                                                            <w:top w:val="none" w:sz="0" w:space="0" w:color="auto"/>
                                                            <w:left w:val="none" w:sz="0" w:space="0" w:color="auto"/>
                                                            <w:bottom w:val="none" w:sz="0" w:space="0" w:color="auto"/>
                                                            <w:right w:val="none" w:sz="0" w:space="0" w:color="auto"/>
                                                          </w:divBdr>
                                                          <w:divsChild>
                                                            <w:div w:id="188980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8816745">
      <w:bodyDiv w:val="1"/>
      <w:marLeft w:val="0"/>
      <w:marRight w:val="0"/>
      <w:marTop w:val="0"/>
      <w:marBottom w:val="0"/>
      <w:divBdr>
        <w:top w:val="none" w:sz="0" w:space="0" w:color="auto"/>
        <w:left w:val="none" w:sz="0" w:space="0" w:color="auto"/>
        <w:bottom w:val="none" w:sz="0" w:space="0" w:color="auto"/>
        <w:right w:val="none" w:sz="0" w:space="0" w:color="auto"/>
      </w:divBdr>
      <w:divsChild>
        <w:div w:id="168720055">
          <w:marLeft w:val="0"/>
          <w:marRight w:val="0"/>
          <w:marTop w:val="0"/>
          <w:marBottom w:val="0"/>
          <w:divBdr>
            <w:top w:val="none" w:sz="0" w:space="0" w:color="auto"/>
            <w:left w:val="none" w:sz="0" w:space="0" w:color="auto"/>
            <w:bottom w:val="none" w:sz="0" w:space="0" w:color="auto"/>
            <w:right w:val="none" w:sz="0" w:space="0" w:color="auto"/>
          </w:divBdr>
          <w:divsChild>
            <w:div w:id="2135558622">
              <w:marLeft w:val="0"/>
              <w:marRight w:val="0"/>
              <w:marTop w:val="0"/>
              <w:marBottom w:val="0"/>
              <w:divBdr>
                <w:top w:val="none" w:sz="0" w:space="0" w:color="auto"/>
                <w:left w:val="none" w:sz="0" w:space="0" w:color="auto"/>
                <w:bottom w:val="none" w:sz="0" w:space="0" w:color="auto"/>
                <w:right w:val="none" w:sz="0" w:space="0" w:color="auto"/>
              </w:divBdr>
              <w:divsChild>
                <w:div w:id="953051270">
                  <w:marLeft w:val="0"/>
                  <w:marRight w:val="0"/>
                  <w:marTop w:val="0"/>
                  <w:marBottom w:val="0"/>
                  <w:divBdr>
                    <w:top w:val="none" w:sz="0" w:space="0" w:color="auto"/>
                    <w:left w:val="none" w:sz="0" w:space="0" w:color="auto"/>
                    <w:bottom w:val="none" w:sz="0" w:space="0" w:color="auto"/>
                    <w:right w:val="none" w:sz="0" w:space="0" w:color="auto"/>
                  </w:divBdr>
                  <w:divsChild>
                    <w:div w:id="845360082">
                      <w:marLeft w:val="0"/>
                      <w:marRight w:val="0"/>
                      <w:marTop w:val="0"/>
                      <w:marBottom w:val="0"/>
                      <w:divBdr>
                        <w:top w:val="none" w:sz="0" w:space="0" w:color="auto"/>
                        <w:left w:val="none" w:sz="0" w:space="0" w:color="auto"/>
                        <w:bottom w:val="none" w:sz="0" w:space="0" w:color="auto"/>
                        <w:right w:val="none" w:sz="0" w:space="0" w:color="auto"/>
                      </w:divBdr>
                      <w:divsChild>
                        <w:div w:id="1189220064">
                          <w:marLeft w:val="0"/>
                          <w:marRight w:val="0"/>
                          <w:marTop w:val="0"/>
                          <w:marBottom w:val="0"/>
                          <w:divBdr>
                            <w:top w:val="none" w:sz="0" w:space="0" w:color="auto"/>
                            <w:left w:val="none" w:sz="0" w:space="0" w:color="auto"/>
                            <w:bottom w:val="none" w:sz="0" w:space="0" w:color="auto"/>
                            <w:right w:val="none" w:sz="0" w:space="0" w:color="auto"/>
                          </w:divBdr>
                          <w:divsChild>
                            <w:div w:id="1078018411">
                              <w:marLeft w:val="0"/>
                              <w:marRight w:val="0"/>
                              <w:marTop w:val="0"/>
                              <w:marBottom w:val="0"/>
                              <w:divBdr>
                                <w:top w:val="none" w:sz="0" w:space="0" w:color="auto"/>
                                <w:left w:val="none" w:sz="0" w:space="0" w:color="auto"/>
                                <w:bottom w:val="none" w:sz="0" w:space="0" w:color="auto"/>
                                <w:right w:val="none" w:sz="0" w:space="0" w:color="auto"/>
                              </w:divBdr>
                              <w:divsChild>
                                <w:div w:id="1688944002">
                                  <w:marLeft w:val="0"/>
                                  <w:marRight w:val="0"/>
                                  <w:marTop w:val="0"/>
                                  <w:marBottom w:val="0"/>
                                  <w:divBdr>
                                    <w:top w:val="none" w:sz="0" w:space="0" w:color="auto"/>
                                    <w:left w:val="none" w:sz="0" w:space="0" w:color="auto"/>
                                    <w:bottom w:val="none" w:sz="0" w:space="0" w:color="auto"/>
                                    <w:right w:val="none" w:sz="0" w:space="0" w:color="auto"/>
                                  </w:divBdr>
                                  <w:divsChild>
                                    <w:div w:id="2058386066">
                                      <w:marLeft w:val="0"/>
                                      <w:marRight w:val="0"/>
                                      <w:marTop w:val="0"/>
                                      <w:marBottom w:val="0"/>
                                      <w:divBdr>
                                        <w:top w:val="none" w:sz="0" w:space="0" w:color="auto"/>
                                        <w:left w:val="none" w:sz="0" w:space="0" w:color="auto"/>
                                        <w:bottom w:val="none" w:sz="0" w:space="0" w:color="auto"/>
                                        <w:right w:val="none" w:sz="0" w:space="0" w:color="auto"/>
                                      </w:divBdr>
                                      <w:divsChild>
                                        <w:div w:id="999384284">
                                          <w:marLeft w:val="0"/>
                                          <w:marRight w:val="0"/>
                                          <w:marTop w:val="0"/>
                                          <w:marBottom w:val="0"/>
                                          <w:divBdr>
                                            <w:top w:val="none" w:sz="0" w:space="0" w:color="auto"/>
                                            <w:left w:val="none" w:sz="0" w:space="0" w:color="auto"/>
                                            <w:bottom w:val="none" w:sz="0" w:space="0" w:color="auto"/>
                                            <w:right w:val="none" w:sz="0" w:space="0" w:color="auto"/>
                                          </w:divBdr>
                                          <w:divsChild>
                                            <w:div w:id="1496140887">
                                              <w:marLeft w:val="0"/>
                                              <w:marRight w:val="0"/>
                                              <w:marTop w:val="0"/>
                                              <w:marBottom w:val="0"/>
                                              <w:divBdr>
                                                <w:top w:val="none" w:sz="0" w:space="0" w:color="auto"/>
                                                <w:left w:val="none" w:sz="0" w:space="0" w:color="auto"/>
                                                <w:bottom w:val="none" w:sz="0" w:space="0" w:color="auto"/>
                                                <w:right w:val="none" w:sz="0" w:space="0" w:color="auto"/>
                                              </w:divBdr>
                                              <w:divsChild>
                                                <w:div w:id="1186603686">
                                                  <w:marLeft w:val="0"/>
                                                  <w:marRight w:val="0"/>
                                                  <w:marTop w:val="0"/>
                                                  <w:marBottom w:val="0"/>
                                                  <w:divBdr>
                                                    <w:top w:val="none" w:sz="0" w:space="0" w:color="auto"/>
                                                    <w:left w:val="none" w:sz="0" w:space="0" w:color="auto"/>
                                                    <w:bottom w:val="none" w:sz="0" w:space="0" w:color="auto"/>
                                                    <w:right w:val="none" w:sz="0" w:space="0" w:color="auto"/>
                                                  </w:divBdr>
                                                  <w:divsChild>
                                                    <w:div w:id="1545676264">
                                                      <w:marLeft w:val="0"/>
                                                      <w:marRight w:val="0"/>
                                                      <w:marTop w:val="0"/>
                                                      <w:marBottom w:val="0"/>
                                                      <w:divBdr>
                                                        <w:top w:val="none" w:sz="0" w:space="0" w:color="auto"/>
                                                        <w:left w:val="none" w:sz="0" w:space="0" w:color="auto"/>
                                                        <w:bottom w:val="none" w:sz="0" w:space="0" w:color="auto"/>
                                                        <w:right w:val="none" w:sz="0" w:space="0" w:color="auto"/>
                                                      </w:divBdr>
                                                      <w:divsChild>
                                                        <w:div w:id="379134744">
                                                          <w:marLeft w:val="0"/>
                                                          <w:marRight w:val="0"/>
                                                          <w:marTop w:val="0"/>
                                                          <w:marBottom w:val="0"/>
                                                          <w:divBdr>
                                                            <w:top w:val="none" w:sz="0" w:space="0" w:color="auto"/>
                                                            <w:left w:val="none" w:sz="0" w:space="0" w:color="auto"/>
                                                            <w:bottom w:val="none" w:sz="0" w:space="0" w:color="auto"/>
                                                            <w:right w:val="none" w:sz="0" w:space="0" w:color="auto"/>
                                                          </w:divBdr>
                                                          <w:divsChild>
                                                            <w:div w:id="110966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undocs.org/en/E/C.12/FRA/CO/4" TargetMode="External"/><Relationship Id="rId13" Type="http://schemas.openxmlformats.org/officeDocument/2006/relationships/hyperlink" Target="http://undocs.org/en/E/C.12/FRA/CO/4" TargetMode="External"/><Relationship Id="rId3" Type="http://schemas.openxmlformats.org/officeDocument/2006/relationships/hyperlink" Target="https://undocs.org/fr/E/C.12/2023/43" TargetMode="External"/><Relationship Id="rId7" Type="http://schemas.openxmlformats.org/officeDocument/2006/relationships/hyperlink" Target="http://undocs.org/en/E/C.12/FRA/CO/4" TargetMode="External"/><Relationship Id="rId12" Type="http://schemas.openxmlformats.org/officeDocument/2006/relationships/hyperlink" Target="http://undocs.org/en/A/HRC/43/43/Add.2" TargetMode="External"/><Relationship Id="rId2" Type="http://schemas.openxmlformats.org/officeDocument/2006/relationships/hyperlink" Target="https://undocs.org/fr/E/C.12/2023/41" TargetMode="External"/><Relationship Id="rId1" Type="http://schemas.openxmlformats.org/officeDocument/2006/relationships/hyperlink" Target="http://undocs.org/en/E/C.12/FRA/5" TargetMode="External"/><Relationship Id="rId6" Type="http://schemas.openxmlformats.org/officeDocument/2006/relationships/hyperlink" Target="http://undocs.org/en/E/C.12/FRA/CO/4" TargetMode="External"/><Relationship Id="rId11" Type="http://schemas.openxmlformats.org/officeDocument/2006/relationships/hyperlink" Target="http://undocs.org/en/E/C.12/FRA/CO/4" TargetMode="External"/><Relationship Id="rId5" Type="http://schemas.openxmlformats.org/officeDocument/2006/relationships/hyperlink" Target="http://undocs.org/en/E/C.12/FRA/RQ/4" TargetMode="External"/><Relationship Id="rId10" Type="http://schemas.openxmlformats.org/officeDocument/2006/relationships/hyperlink" Target="http://undocs.org/en/CERD/C/FRA/CO/22-23" TargetMode="External"/><Relationship Id="rId4" Type="http://schemas.openxmlformats.org/officeDocument/2006/relationships/hyperlink" Target="http://undocs.org/en/E/C.12/FRA/QPR/5" TargetMode="External"/><Relationship Id="rId9" Type="http://schemas.openxmlformats.org/officeDocument/2006/relationships/hyperlink" Target="http://undocs.org/en/E/C.12/FRA/CO/4" TargetMode="External"/><Relationship Id="rId14" Type="http://schemas.openxmlformats.org/officeDocument/2006/relationships/hyperlink" Target="https://undocs.org/fr/E/C.12/201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7F3C829DF7D944B160ED13BF208A7C" ma:contentTypeVersion="12" ma:contentTypeDescription="Create a new document." ma:contentTypeScope="" ma:versionID="b756501042bfc039023ca4e354ab72a3">
  <xsd:schema xmlns:xsd="http://www.w3.org/2001/XMLSchema" xmlns:xs="http://www.w3.org/2001/XMLSchema" xmlns:p="http://schemas.microsoft.com/office/2006/metadata/properties" xmlns:ns2="c11320bd-0376-468b-ae19-b827459cb638" xmlns:ns3="c897859b-c95c-4367-a7a2-639c24a5e29a" targetNamespace="http://schemas.microsoft.com/office/2006/metadata/properties" ma:root="true" ma:fieldsID="6d3130da84b1263389cc297880476569" ns2:_="" ns3:_="">
    <xsd:import namespace="c11320bd-0376-468b-ae19-b827459cb638"/>
    <xsd:import namespace="c897859b-c95c-4367-a7a2-639c24a5e2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20bd-0376-468b-ae19-b827459cb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97859b-c95c-4367-a7a2-639c24a5e2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43459-CF21-410A-9E55-7A41496DFF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16F9F6-DB90-4540-A7A3-226C36F676BA}">
  <ds:schemaRefs>
    <ds:schemaRef ds:uri="http://schemas.microsoft.com/sharepoint/v3/contenttype/forms"/>
  </ds:schemaRefs>
</ds:datastoreItem>
</file>

<file path=customXml/itemProps3.xml><?xml version="1.0" encoding="utf-8"?>
<ds:datastoreItem xmlns:ds="http://schemas.openxmlformats.org/officeDocument/2006/customXml" ds:itemID="{4B822202-5E77-4DAD-A678-04F499536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320bd-0376-468b-ae19-b827459cb638"/>
    <ds:schemaRef ds:uri="c897859b-c95c-4367-a7a2-639c24a5e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D50816-DAE9-4FD9-99E6-DAC45641E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7197</Words>
  <Characters>39589</Characters>
  <Application>Microsoft Office Word</Application>
  <DocSecurity>0</DocSecurity>
  <Lines>329</Lines>
  <Paragraphs>93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E/C.12/FRA/CO/R.5</vt:lpstr>
      <vt:lpstr>a/hthhhh</vt:lpstr>
      <vt:lpstr>a/hthhhh</vt:lpstr>
    </vt:vector>
  </TitlesOfParts>
  <Company>DCM</Company>
  <LinksUpToDate>false</LinksUpToDate>
  <CharactersWithSpaces>46693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E/C.12/FRA/CO/R.5</dc:title>
  <dc:subject/>
  <dc:creator>Gloria de la Rosa</dc:creator>
  <cp:keywords/>
  <dc:description/>
  <cp:lastModifiedBy>FRED FABRE</cp:lastModifiedBy>
  <cp:revision>2</cp:revision>
  <cp:lastPrinted>2023-10-12T15:25:00Z</cp:lastPrinted>
  <dcterms:created xsi:type="dcterms:W3CDTF">2023-10-25T16:33:00Z</dcterms:created>
  <dcterms:modified xsi:type="dcterms:W3CDTF">2023-10-25T16:33:00Z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CESCR</vt:lpwstr>
  </property>
  <property fmtid="{D5CDD505-2E9C-101B-9397-08002B2CF9AE}" pid="7" name="ContentTypeId">
    <vt:lpwstr>0x010100EF7F3C829DF7D944B160ED13BF208A7C</vt:lpwstr>
  </property>
  <property fmtid="{D5CDD505-2E9C-101B-9397-08002B2CF9AE}" pid="8" name="count">
    <vt:lpwstr>de la France</vt:lpwstr>
  </property>
  <property fmtid="{D5CDD505-2E9C-101B-9397-08002B2CF9AE}" pid="9" name="countw">
    <vt:lpwstr>France</vt:lpwstr>
  </property>
  <property fmtid="{D5CDD505-2E9C-101B-9397-08002B2CF9AE}" pid="10" name="countwd">
    <vt:lpwstr>la France</vt:lpwstr>
  </property>
  <property fmtid="{D5CDD505-2E9C-101B-9397-08002B2CF9AE}" pid="11" name="date">
    <vt:lpwstr>1ᵉʳ mai 2023</vt:lpwstr>
  </property>
  <property fmtid="{D5CDD505-2E9C-101B-9397-08002B2CF9AE}" pid="12" name="Date-Generated">
    <vt:filetime>2023-05-01T15:17:26Z</vt:filetime>
  </property>
  <property fmtid="{D5CDD505-2E9C-101B-9397-08002B2CF9AE}" pid="13" name="dist">
    <vt:lpwstr>restreinte</vt:lpwstr>
  </property>
  <property fmtid="{D5CDD505-2E9C-101B-9397-08002B2CF9AE}" pid="14" name="doctype">
    <vt:lpwstr>Draft</vt:lpwstr>
  </property>
  <property fmtid="{D5CDD505-2E9C-101B-9397-08002B2CF9AE}" pid="15" name="Entity">
    <vt:lpwstr>Concluding observations</vt:lpwstr>
  </property>
  <property fmtid="{D5CDD505-2E9C-101B-9397-08002B2CF9AE}" pid="16" name="gdoc">
    <vt:lpwstr/>
  </property>
  <property fmtid="{D5CDD505-2E9C-101B-9397-08002B2CF9AE}" pid="17" name="gdocf">
    <vt:lpwstr/>
  </property>
  <property fmtid="{D5CDD505-2E9C-101B-9397-08002B2CF9AE}" pid="18" name="hrc">
    <vt:lpwstr>XX/XX</vt:lpwstr>
  </property>
  <property fmtid="{D5CDD505-2E9C-101B-9397-08002B2CF9AE}" pid="19" name="Nmeet">
    <vt:lpwstr>Number</vt:lpwstr>
  </property>
  <property fmtid="{D5CDD505-2E9C-101B-9397-08002B2CF9AE}" pid="20" name="olang">
    <vt:lpwstr>français</vt:lpwstr>
  </property>
  <property fmtid="{D5CDD505-2E9C-101B-9397-08002B2CF9AE}" pid="21" name="Order">
    <vt:r8>203800</vt:r8>
  </property>
  <property fmtid="{D5CDD505-2E9C-101B-9397-08002B2CF9AE}" pid="22" name="Org">
    <vt:lpwstr>OHCHR</vt:lpwstr>
  </property>
  <property fmtid="{D5CDD505-2E9C-101B-9397-08002B2CF9AE}" pid="23" name="prep">
    <vt:lpwstr>cinquième rapport périodique de la France</vt:lpwstr>
  </property>
  <property fmtid="{D5CDD505-2E9C-101B-9397-08002B2CF9AE}" pid="24" name="preps">
    <vt:lpwstr>cinquième rapport périodique de la France</vt:lpwstr>
  </property>
  <property fmtid="{D5CDD505-2E9C-101B-9397-08002B2CF9AE}" pid="25" name="prepw">
    <vt:lpwstr>cinquième rapport périodique</vt:lpwstr>
  </property>
  <property fmtid="{D5CDD505-2E9C-101B-9397-08002B2CF9AE}" pid="26" name="prepwc">
    <vt:lpwstr>Cinquième rapport périodique </vt:lpwstr>
  </property>
  <property fmtid="{D5CDD505-2E9C-101B-9397-08002B2CF9AE}" pid="27" name="prepws">
    <vt:lpwstr>cinquième rapport périodique</vt:lpwstr>
  </property>
  <property fmtid="{D5CDD505-2E9C-101B-9397-08002B2CF9AE}" pid="28" name="sdate">
    <vt:lpwstr>[Start-End Dates]</vt:lpwstr>
  </property>
  <property fmtid="{D5CDD505-2E9C-101B-9397-08002B2CF9AE}" pid="29" name="snum">
    <vt:lpwstr>[NUMBER]</vt:lpwstr>
  </property>
  <property fmtid="{D5CDD505-2E9C-101B-9397-08002B2CF9AE}" pid="30" name="stitle">
    <vt:lpwstr>[Title]</vt:lpwstr>
  </property>
  <property fmtid="{D5CDD505-2E9C-101B-9397-08002B2CF9AE}" pid="31" name="sym1">
    <vt:lpwstr>C.12/FRA/CO/R.5</vt:lpwstr>
  </property>
  <property fmtid="{D5CDD505-2E9C-101B-9397-08002B2CF9AE}" pid="32" name="symh">
    <vt:lpwstr>E/C.12/FRA/CO/R.5</vt:lpwstr>
  </property>
  <property fmtid="{D5CDD505-2E9C-101B-9397-08002B2CF9AE}" pid="33" name="Title">
    <vt:lpwstr>E/C.12/FRA/CO/R.5</vt:lpwstr>
  </property>
  <property fmtid="{D5CDD505-2E9C-101B-9397-08002B2CF9AE}" pid="34" name="tlang">
    <vt:lpwstr/>
  </property>
  <property fmtid="{D5CDD505-2E9C-101B-9397-08002B2CF9AE}" pid="35" name="virs">
    <vt:lpwstr>Anglais, espagnol et français seulement</vt:lpwstr>
  </property>
  <property fmtid="{D5CDD505-2E9C-101B-9397-08002B2CF9AE}" pid="36" name="GrammarlyDocumentId">
    <vt:lpwstr>ecb514f6bfc53e54791ad84520eb87a8f0eded74a0debacaa71a434b67365a5f</vt:lpwstr>
  </property>
</Properties>
</file>